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D5A928"/>
          <w:sz w:val="20"/>
        </w:rPr>
        <w:t>SAFESTEPS CLINICAL GOVERNANCE</w:t>
      </w:r>
    </w:p>
    <w:p>
      <w:pPr>
        <w:pStyle w:val="Title"/>
      </w:pPr>
      <w:r>
        <w:t>Clinical Instrument and Assessment Register</w:t>
      </w:r>
    </w:p>
    <w:p>
      <w:pPr>
        <w:pStyle w:val="Subtitle"/>
      </w:pPr>
      <w:r>
        <w:t>Candidate screening tools, professional assessments, licences, evidence and release controls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Current value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8"/>
              </w:rPr>
              <w:t>Owner</w:t>
            </w:r>
          </w:p>
        </w:tc>
        <w:tc>
          <w:tcPr>
            <w:tcW w:type="dxa" w:w="6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Katrina Watts, SafeSteps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8"/>
              </w:rPr>
              <w:t>Version/date</w:t>
            </w:r>
          </w:p>
        </w:tc>
        <w:tc>
          <w:tcPr>
            <w:tcW w:type="dxa" w:w="6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Version 1.0 | 29 August 2026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8"/>
              </w:rPr>
              <w:t>Status</w:t>
            </w:r>
          </w:p>
        </w:tc>
        <w:tc>
          <w:tcPr>
            <w:tcW w:type="dxa" w:w="6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CANDIDATE REGISTER - NO INSTRUMENT APPROVED FOR RELEASE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8"/>
              </w:rPr>
              <w:t>Applies to</w:t>
            </w:r>
          </w:p>
        </w:tc>
        <w:tc>
          <w:tcPr>
            <w:tcW w:type="dxa" w:w="6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Adult, parent, child, family, clinical and forensic assessment functions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AF4F1"/>
          </w:tcPr>
          <w:p>
            <w:r>
              <w:rPr>
                <w:rFonts w:ascii="Calibri" w:hAnsi="Calibri"/>
                <w:b/>
                <w:color w:val="183B3A"/>
                <w:sz w:val="22"/>
              </w:rPr>
              <w:t xml:space="preserve">Critical restriction  </w:t>
            </w:r>
            <w:r>
              <w:rPr>
                <w:rFonts w:ascii="Calibri" w:hAnsi="Calibri"/>
                <w:color w:val="183B3A"/>
                <w:sz w:val="22"/>
              </w:rPr>
              <w:t>Listing a tool here does not authorise SafeSteps to copy, digitise, score, interpret or supply it. Every instrument requires written confirmation of ownership/licence, permitted digital use, exact version, intended population, authorised user, scoring, evidence, safeguards and regulatory pathway before implementation.</w:t>
            </w:r>
          </w:p>
        </w:tc>
      </w:tr>
    </w:tbl>
    <w:p>
      <w:pPr>
        <w:spacing w:after="0"/>
      </w:pPr>
    </w:p>
    <w:p>
      <w:pPr>
        <w:pStyle w:val="Heading1"/>
      </w:pPr>
      <w:r>
        <w:t>1. Register purpose and governing rule</w:t>
      </w:r>
    </w:p>
    <w:p>
      <w:r>
        <w:t>This register provides a controlled shortlist for professional evaluation. It distinguishes brief screening from diagnosis and forensic opinion, and prevents a named tool from being treated as automatically suitable for parents, children, courts or child-protection matters.</w:t>
      </w:r>
    </w:p>
    <w:p>
      <w:pPr>
        <w:pStyle w:val="ListBullet"/>
      </w:pPr>
      <w:r>
        <w:t>SafeSteps outputs remain preliminary and non-diagnostic unless a registered professional independently authors a separate conclusion.</w:t>
      </w:r>
    </w:p>
    <w:p>
      <w:pPr>
        <w:pStyle w:val="ListBullet"/>
      </w:pPr>
      <w:r>
        <w:t>Only the exact approved version, wording, response scale and scoring method may be implemented.</w:t>
      </w:r>
    </w:p>
    <w:p>
      <w:pPr>
        <w:pStyle w:val="ListBullet"/>
      </w:pPr>
      <w:r>
        <w:t>No generative AI may modify items, infer missing answers, calculate an alternative score or select a restricted test.</w:t>
      </w:r>
    </w:p>
    <w:p>
      <w:pPr>
        <w:pStyle w:val="ListBullet"/>
      </w:pPr>
      <w:r>
        <w:t>A tool validated in one population, language or setting is not presumed valid in another.</w:t>
      </w:r>
    </w:p>
    <w:p>
      <w:pPr>
        <w:pStyle w:val="ListBullet"/>
      </w:pPr>
      <w:r>
        <w:t>Clinical urgency pathways operate independently of any total score.</w:t>
      </w:r>
    </w:p>
    <w:p>
      <w:pPr>
        <w:pStyle w:val="Heading1"/>
      </w:pPr>
      <w:r>
        <w:t>2. Approval status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Release consequence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7"/>
              </w:rPr>
              <w:t>Candidate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Potentially relevant; not fully evaluated</w:t>
            </w:r>
          </w:p>
        </w:tc>
        <w:tc>
          <w:tcPr>
            <w:tcW w:type="dxa" w:w="3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Do not build or display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7"/>
              </w:rPr>
              <w:t>Owner review required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Copyright, licence or digital permissions unresolved</w:t>
            </w:r>
          </w:p>
        </w:tc>
        <w:tc>
          <w:tcPr>
            <w:tcW w:type="dxa" w:w="3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Obtain written authority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7"/>
              </w:rPr>
              <w:t>Clinical review required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Purpose, population, validity or interpretation unresolved</w:t>
            </w:r>
          </w:p>
        </w:tc>
        <w:tc>
          <w:tcPr>
            <w:tcW w:type="dxa" w:w="3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Independent clinical sign-off required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7"/>
              </w:rPr>
              <w:t>Restricted professional use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Training, registration or competence required</w:t>
            </w:r>
          </w:p>
        </w:tc>
        <w:tc>
          <w:tcPr>
            <w:tcW w:type="dxa" w:w="3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Credential-gated professional workflow only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7"/>
              </w:rPr>
              <w:t>Approved for pilot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All gates conditionally met for named protocol/version</w:t>
            </w:r>
          </w:p>
        </w:tc>
        <w:tc>
          <w:tcPr>
            <w:tcW w:type="dxa" w:w="3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Limited governed pilot; no general release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7"/>
              </w:rPr>
              <w:t>Approved for release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Documented regulatory, clinical, licence and technical approval</w:t>
            </w:r>
          </w:p>
        </w:tc>
        <w:tc>
          <w:tcPr>
            <w:tcW w:type="dxa" w:w="3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Release only within approved purpose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7"/>
              </w:rPr>
              <w:t>Rejected/retired</w:t>
            </w:r>
          </w:p>
        </w:tc>
        <w:tc>
          <w:tcPr>
            <w:tcW w:type="dxa" w:w="3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Unsafe, unsuitable, superseded or authority withdrawn</w:t>
            </w:r>
          </w:p>
        </w:tc>
        <w:tc>
          <w:tcPr>
            <w:tcW w:type="dxa" w:w="3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7"/>
              </w:rPr>
              <w:t>Block new use; preserve audit history</w:t>
            </w:r>
          </w:p>
        </w:tc>
      </w:tr>
    </w:tbl>
    <w:p>
      <w:pPr>
        <w:pStyle w:val="Heading1"/>
      </w:pPr>
      <w:r>
        <w:t>3. Candidate screening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1350"/>
        <w:gridCol w:w="1600"/>
        <w:gridCol w:w="1250"/>
        <w:gridCol w:w="1550"/>
        <w:gridCol w:w="2360"/>
      </w:tblGrid>
      <w:tr>
        <w:trPr>
          <w:tblHeader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Population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Use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unresolved control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K10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General psychological distress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Adults; Australian use common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Self-report screen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Candidate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Verify permission, digital form, thresholds and local validation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K6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Brief psychological distress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Adults/adolescents only if supported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Self-report screen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Candidate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Verify population and Australian interpretation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PHQ-9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Depressive symptoms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Adults; youth only with specific evidence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Self-report screen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Owner review required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Confirm current owner terms, digital use, crisis handling and population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GAD-7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Anxiety symptoms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Adults; youth only with specific evidence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Self-report screen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Owner review required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Confirm owner terms, digital use and interpretation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WHO-5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Wellbeing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Population depends on version/evidence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Self-report wellbeing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Candidate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Confirm licence, language, cut-offs and intended use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AUDIT / AUDIT-C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Alcohol risk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Adults in suitable setting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Screening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Candidate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WHO materials; verify exact version, scoring and referral response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WHO ASSIST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Substance involvement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Primary/general health contexts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Screening + linked response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Clinical review required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Training, workflow, licence/attribution and urgent-risk controls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DUDIT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Drug-related problems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Adults; context-specific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Screening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Owner review required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Verify owner permission, digital use and Australian evidence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PCL-5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PTSD symptoms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Qualified health professionals/researchers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Symptom screen/monitor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Restricted professional use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Public domain but interpretation by clinician; trauma safeguards required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PC-PTSD-5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Brief PTSD screen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Primary-care style settings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Brief screen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Clinical review required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Not diagnosis; verify setting, cut-point and follow-up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EPDS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Perinatal depressive symptoms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Perinatal population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Screening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Owner/clinical review required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Verify current permission, translated versions and self-harm response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Parenting stress measure - TBD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Parenting stress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Parents/caregivers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Screening/measurement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Candidate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Select only after licence, construct, population and bias review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Child wellbeing measure - TBD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Child wellbeing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Age/ability-specific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Child self-report/observer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Candidate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Assent, authority, accessibility, culture and safeguarding required</w:t>
            </w:r>
          </w:p>
        </w:tc>
      </w:tr>
      <w:tr>
        <w:trPr>
          <w:cantSplit/>
        </w:trPr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4"/>
              </w:rPr>
              <w:t>DFV safety/risk tool - jurisdiction TBD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DFV safety and risk</w:t>
            </w:r>
          </w:p>
        </w:tc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Jurisdiction and role-specific</w:t>
            </w:r>
          </w:p>
        </w:tc>
        <w:tc>
          <w:tcPr>
            <w:tcW w:type="dxa" w:w="12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Structured professional process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Restricted professional use</w:t>
            </w:r>
          </w:p>
        </w:tc>
        <w:tc>
          <w:tcPr>
            <w:tcW w:type="dxa" w:w="2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4"/>
              </w:rPr>
              <w:t>Not a generic quiz; align with state/territory framework and trained practice</w:t>
            </w:r>
          </w:p>
        </w:tc>
      </w:tr>
    </w:tbl>
    <w:p>
      <w:r>
        <w:rPr>
          <w:rFonts w:ascii="Calibri" w:hAnsi="Calibri"/>
          <w:b/>
          <w:color w:val="183B3A"/>
          <w:sz w:val="18"/>
        </w:rPr>
        <w:t xml:space="preserve">Register note: </w:t>
      </w:r>
      <w:r>
        <w:rPr>
          <w:rFonts w:ascii="Calibri" w:hAnsi="Calibri"/>
          <w:color w:val="5D6665"/>
          <w:sz w:val="18"/>
        </w:rPr>
        <w:t>Candidate names support due diligence only. SafeSteps must not reproduce item text in specifications, prompts, training data or prototypes until permission is confirmed.</w:t>
      </w:r>
    </w:p>
    <w:p>
      <w:pPr>
        <w:pStyle w:val="Heading1"/>
      </w:pPr>
      <w:r>
        <w:t>4. Professional diagnostic and forensic assessment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450"/>
        <w:gridCol w:w="1800"/>
        <w:gridCol w:w="1550"/>
        <w:gridCol w:w="2860"/>
      </w:tblGrid>
      <w:tr>
        <w:trPr>
          <w:tblHeader/>
        </w:trPr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Assessment family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Authorised assessor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SafeSteps boundary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5"/>
              </w:rPr>
              <w:t>Structured diagnostic interview - TBD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Diagnostic assessment</w:t>
            </w: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Registered, trained clinician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Restricted professional use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SafeSteps may schedule, securely present authorised materials and store a practitioner report; it may not conduct or sign the diagnosis.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5"/>
              </w:rPr>
              <w:t>CAPS-5 / CAPS-CA-5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PTSD diagnostic interview</w:t>
            </w: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Clinician or appropriately trained assessor under governance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Restricted professional use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Training strongly encouraged; professional interview and judgment required.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5"/>
              </w:rPr>
              <w:t>Cognitive/intellectual assessment - TBD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Cognitive functioning</w:t>
            </w: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Qualified psychologist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Restricted/proprietary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Publisher licence, test security, identity, standardised administration and norm controls required.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5"/>
              </w:rPr>
              <w:t>Personality/psychopathology inventory - TBD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Clinical/personality assessment</w:t>
            </w: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Qualified psychologist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Restricted/proprietary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Do not expose items, keys, norms or automated interpretations to ordinary users or AI.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5"/>
              </w:rPr>
              <w:t>Parenting-capacity assessment protocol - TBD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Parenting capacity</w:t>
            </w: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Competent multidisciplinary professional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Protocol development required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Must integrate interview, observation, collateral material, culture, disability, supports, alternatives and response rights.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5"/>
              </w:rPr>
              <w:t>Forensic family/court assessment - TBD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Legal/forensic opinion</w:t>
            </w: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Independent appropriately qualified expert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External professional service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Court question, instructions, conflicts, procedural fairness, methodology, limitations and expert signature are mandatory.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5"/>
              </w:rPr>
              <w:t>Attachment assessment - TBD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Attachment/relationship</w:t>
            </w: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Specifically trained practitioner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High-risk restricted use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No inference from messaging alone; use only validated method for exact age/population and purpose.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5"/>
              </w:rPr>
              <w:t>AOD diagnostic assessment - TBD</w:t>
            </w:r>
          </w:p>
        </w:tc>
        <w:tc>
          <w:tcPr>
            <w:tcW w:type="dxa" w:w="1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Substance-use diagnosis</w:t>
            </w: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Qualified clinician</w:t>
            </w:r>
          </w:p>
        </w:tc>
        <w:tc>
          <w:tcPr>
            <w:tcW w:type="dxa" w:w="1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Restricted professional use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5"/>
              </w:rPr>
              <w:t>Screen results alone are insufficient; withdrawal and acute-risk pathways required.</w:t>
            </w:r>
          </w:p>
        </w:tc>
      </w:tr>
    </w:tbl>
    <w:p>
      <w:pPr>
        <w:pStyle w:val="Heading1"/>
      </w:pPr>
      <w:r>
        <w:t>5. Instrument approval dossier - mandatory fields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2E74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Required record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Identity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Full name, abbreviation, owner/publisher, authors, exact edition/version, date and unique internal ID.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Purpose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Construct, screening/monitoring/diagnostic role, prohibited uses and permitted claims.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Population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Age, developmental stage, culture, language, disability, setting, exclusions and contraindications.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Authority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Copyright, licence, digital administration, storage, translation, adaptation, reporting and AI restrictions.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Administration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Mode, instructions, timeframe, completion limits, missing data, assistance and environmental requirements.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Scoring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Exact deterministic algorithm, reverse items, subscales, thresholds, uncertainty, invalidity and version control.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Evidence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Reliability, validity, sensitivity/specificity where relevant, norms, subgroup evidence, limitations and independent review.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Safety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Urgent items, distress response, DFV/unsafe-device controls, suicidality, overdose/withdrawal and child-safety escalation.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Professional use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Required registration, training, competence, supervision, interpretation, signature and second opinion.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Regulatory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Medical-device determination, exclusion/exemption, class/ARTG status, intended-purpose linkage and approval owner.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Technical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Requirements, test vectors, accessibility, offline behaviour, audit, encryption, data minimisation and rollback.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B3A"/>
                <w:sz w:val="16"/>
              </w:rPr>
              <w:t>Lifecycle</w:t>
            </w:r>
          </w:p>
        </w:tc>
        <w:tc>
          <w:tcPr>
            <w:tcW w:type="dxa" w:w="74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16"/>
              </w:rPr>
              <w:t>Approval date, reviewers, pilot protocol, performance monitoring, complaints, incidents, expiry and retirement.</w:t>
            </w:r>
          </w:p>
        </w:tc>
      </w:tr>
    </w:tbl>
    <w:p>
      <w:pPr>
        <w:pStyle w:val="Heading1"/>
      </w:pPr>
      <w:r>
        <w:t>6. Safety and fairness gates</w:t>
      </w:r>
    </w:p>
    <w:p>
      <w:pPr>
        <w:pStyle w:val="ListBullet"/>
      </w:pPr>
      <w:r>
        <w:t>Do not treat a score as an allegation, diagnosis, parenting judgment, forensic finding or proof of risk.</w:t>
      </w:r>
    </w:p>
    <w:p>
      <w:pPr>
        <w:pStyle w:val="ListBullet"/>
      </w:pPr>
      <w:r>
        <w:t>Show missing, disputed and uncertain information and preserve the source response and instrument version.</w:t>
      </w:r>
    </w:p>
    <w:p>
      <w:pPr>
        <w:pStyle w:val="ListBullet"/>
      </w:pPr>
      <w:r>
        <w:t>Provide the parent or participant a plain-language explanation, correction/response pathway and appropriate support options.</w:t>
      </w:r>
    </w:p>
    <w:p>
      <w:pPr>
        <w:pStyle w:val="ListBullet"/>
      </w:pPr>
      <w:r>
        <w:t>Never use poverty, disability, diagnosis, housing difficulty, criminal history or caseworker conflict as a standalone automated adverse conclusion.</w:t>
      </w:r>
    </w:p>
    <w:p>
      <w:pPr>
        <w:pStyle w:val="ListBullet"/>
      </w:pPr>
      <w:r>
        <w:t>For child use, independently approve authority, consent/assent, private-entry protections, mandatory disclosure rules and minimum-necessary sharing.</w:t>
      </w:r>
    </w:p>
    <w:p>
      <w:pPr>
        <w:pStyle w:val="ListBullet"/>
      </w:pPr>
      <w:r>
        <w:t>Test comprehension, accessibility and performance across relevant cultural, language, disability, device and connectivity groups.</w:t>
      </w:r>
    </w:p>
    <w:p>
      <w:pPr>
        <w:pStyle w:val="Heading1"/>
      </w:pPr>
      <w:r>
        <w:t>7. Build and release workflow</w:t>
      </w:r>
    </w:p>
    <w:p>
      <w:pPr>
        <w:pStyle w:val="ListNumber"/>
      </w:pPr>
      <w:r>
        <w:t>Nominate a clinical question and candidate instrument without copying restricted content.</w:t>
      </w:r>
    </w:p>
    <w:p>
      <w:pPr>
        <w:pStyle w:val="ListNumber"/>
      </w:pPr>
      <w:r>
        <w:t>Obtain written owner/publisher permission and qualification requirements.</w:t>
      </w:r>
    </w:p>
    <w:p>
      <w:pPr>
        <w:pStyle w:val="ListNumber"/>
      </w:pPr>
      <w:r>
        <w:t>Complete independent clinical, psychometric, lived-experience, cultural, accessibility and safety review.</w:t>
      </w:r>
    </w:p>
    <w:p>
      <w:pPr>
        <w:pStyle w:val="ListNumber"/>
      </w:pPr>
      <w:r>
        <w:t>Resolve TGA and other Australian regulatory obligations for the exact function and claim.</w:t>
      </w:r>
    </w:p>
    <w:p>
      <w:pPr>
        <w:pStyle w:val="ListNumber"/>
      </w:pPr>
      <w:r>
        <w:t>Implement the locked version and deterministic scoring with known-answer test cases.</w:t>
      </w:r>
    </w:p>
    <w:p>
      <w:pPr>
        <w:pStyle w:val="ListNumber"/>
      </w:pPr>
      <w:r>
        <w:t>Run a governed pilot; measure usability, validity, false reassurance, distress, bias and escalation performance.</w:t>
      </w:r>
    </w:p>
    <w:p>
      <w:pPr>
        <w:pStyle w:val="ListNumber"/>
      </w:pPr>
      <w:r>
        <w:t>Approve only the named version, population, mode, output and professional workflow.</w:t>
      </w:r>
    </w:p>
    <w:p>
      <w:pPr>
        <w:pStyle w:val="ListNumber"/>
      </w:pPr>
      <w:r>
        <w:t>Monitor and suspend automatically when licence, evidence, version, performance or safety status expires.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FF3CD"/>
          </w:tcPr>
          <w:p>
            <w:r>
              <w:rPr>
                <w:rFonts w:ascii="Calibri" w:hAnsi="Calibri"/>
                <w:b/>
                <w:color w:val="6B5200"/>
                <w:sz w:val="22"/>
              </w:rPr>
              <w:t xml:space="preserve">No silent substitution  </w:t>
            </w:r>
            <w:r>
              <w:rPr>
                <w:rFonts w:ascii="Calibri" w:hAnsi="Calibri"/>
                <w:color w:val="6B5200"/>
                <w:sz w:val="22"/>
              </w:rPr>
              <w:t>A shorter form, translation, altered wording, AI paraphrase, different recall period, changed cut-point or new population is a new configuration requiring reassessment.</w:t>
            </w:r>
          </w:p>
        </w:tc>
      </w:tr>
    </w:tbl>
    <w:p>
      <w:pPr>
        <w:spacing w:after="0"/>
      </w:pPr>
    </w:p>
    <w:p>
      <w:pPr>
        <w:pStyle w:val="Heading1"/>
      </w:pPr>
      <w:r>
        <w:t>8. Initial professional decisions required</w:t>
      </w:r>
    </w:p>
    <w:p>
      <w:pPr>
        <w:pStyle w:val="ListBullet"/>
      </w:pPr>
      <w:r>
        <w:t>Appoint a clinical governance lead and at least one Australian registered psychologist to evaluate psychological instruments.</w:t>
      </w:r>
    </w:p>
    <w:p>
      <w:pPr>
        <w:pStyle w:val="ListBullet"/>
      </w:pPr>
      <w:r>
        <w:t>Appoint AOD, DFV, child-development, disability, Aboriginal and Torres Strait Islander, privacy and forensic specialists for their domains.</w:t>
      </w:r>
    </w:p>
    <w:p>
      <w:pPr>
        <w:pStyle w:val="ListBullet"/>
      </w:pPr>
      <w:r>
        <w:t>Choose the first pilot domain; do not launch the complete candidate library at once.</w:t>
      </w:r>
    </w:p>
    <w:p>
      <w:pPr>
        <w:pStyle w:val="ListBullet"/>
      </w:pPr>
      <w:r>
        <w:t>Prefer the minimum instrument set needed to answer a defined support question.</w:t>
      </w:r>
    </w:p>
    <w:p>
      <w:pPr>
        <w:pStyle w:val="ListBullet"/>
      </w:pPr>
      <w:r>
        <w:t>Create a separate instrument dossier and signed approval record for every selected version.</w:t>
      </w:r>
    </w:p>
    <w:p>
      <w:pPr>
        <w:pStyle w:val="Heading1"/>
      </w:pPr>
      <w:r>
        <w:t>Appendix A - Official reference sources</w:t>
      </w:r>
    </w:p>
    <w:p>
      <w:r>
        <w:rPr>
          <w:rFonts w:ascii="Calibri" w:hAnsi="Calibri"/>
          <w:b/>
          <w:color w:val="183B3A"/>
          <w:sz w:val="18"/>
        </w:rPr>
        <w:t xml:space="preserve">TGA software-based medical devices: </w:t>
      </w:r>
      <w:hyperlink r:id="rId11">
        <w:r>
          <w:rPr>
            <w:color w:val="2E746E"/>
            <w:u w:val="single"/>
          </w:rPr>
          <w:t>https://www.tga.gov.au/resources/guidance/understanding-how-we-regulate-software-based-medical-devices</w:t>
        </w:r>
      </w:hyperlink>
    </w:p>
    <w:p>
      <w:r>
        <w:rPr>
          <w:rFonts w:ascii="Calibri" w:hAnsi="Calibri"/>
          <w:b/>
          <w:color w:val="183B3A"/>
          <w:sz w:val="18"/>
        </w:rPr>
        <w:t xml:space="preserve">TGA AI medical-device evidence: </w:t>
      </w:r>
      <w:hyperlink r:id="rId12">
        <w:r>
          <w:rPr>
            <w:color w:val="2E746E"/>
            <w:u w:val="single"/>
          </w:rPr>
          <w:t>https://www.tga.gov.au/products/medical-devices/software-and-artificial-intelligence-ai/manufacturing/artificial-intelligence-ai-and-medical-device-software-regulation/evidence-requirements-software-using-ai</w:t>
        </w:r>
      </w:hyperlink>
    </w:p>
    <w:p>
      <w:r>
        <w:rPr>
          <w:rFonts w:ascii="Calibri" w:hAnsi="Calibri"/>
          <w:b/>
          <w:color w:val="183B3A"/>
          <w:sz w:val="18"/>
        </w:rPr>
        <w:t xml:space="preserve">Psychology Board professional competencies: </w:t>
      </w:r>
      <w:hyperlink r:id="rId13">
        <w:r>
          <w:rPr>
            <w:color w:val="2E746E"/>
            <w:u w:val="single"/>
          </w:rPr>
          <w:t>https://www.psychologyboard.gov.au/Standards-and-Guidelines/Professional-practice-standards/Professional-competencies-for-psychology</w:t>
        </w:r>
      </w:hyperlink>
    </w:p>
    <w:p>
      <w:r>
        <w:rPr>
          <w:rFonts w:ascii="Calibri" w:hAnsi="Calibri"/>
          <w:b/>
          <w:color w:val="183B3A"/>
          <w:sz w:val="18"/>
        </w:rPr>
        <w:t xml:space="preserve">ABS K10 information: </w:t>
      </w:r>
      <w:hyperlink r:id="rId14">
        <w:r>
          <w:rPr>
            <w:color w:val="2E746E"/>
            <w:u w:val="single"/>
          </w:rPr>
          <w:t>https://www.abs.gov.au/ausstats/abs%40.nsf/Lookup/by%20Subject/4363.0~2017-18~Main%20Features~Kessler%20Psychological%20Distress%20Scale%20-10%20%28K10%29~35</w:t>
        </w:r>
      </w:hyperlink>
    </w:p>
    <w:p>
      <w:r>
        <w:rPr>
          <w:rFonts w:ascii="Calibri" w:hAnsi="Calibri"/>
          <w:b/>
          <w:color w:val="183B3A"/>
          <w:sz w:val="18"/>
        </w:rPr>
        <w:t xml:space="preserve">WHO AUDIT manual: </w:t>
      </w:r>
      <w:hyperlink r:id="rId15">
        <w:r>
          <w:rPr>
            <w:color w:val="2E746E"/>
            <w:u w:val="single"/>
          </w:rPr>
          <w:t>https://www.who.int/publications/i/item/WHO-MSD-MSB-01.6a</w:t>
        </w:r>
      </w:hyperlink>
    </w:p>
    <w:p>
      <w:r>
        <w:rPr>
          <w:rFonts w:ascii="Calibri" w:hAnsi="Calibri"/>
          <w:b/>
          <w:color w:val="183B3A"/>
          <w:sz w:val="18"/>
        </w:rPr>
        <w:t xml:space="preserve">WHO ASSIST manual: </w:t>
      </w:r>
      <w:hyperlink r:id="rId16">
        <w:r>
          <w:rPr>
            <w:color w:val="2E746E"/>
            <w:u w:val="single"/>
          </w:rPr>
          <w:t>https://www.who.int/publications/i/item/978924159938-2</w:t>
        </w:r>
      </w:hyperlink>
    </w:p>
    <w:p>
      <w:r>
        <w:rPr>
          <w:rFonts w:ascii="Calibri" w:hAnsi="Calibri"/>
          <w:b/>
          <w:color w:val="183B3A"/>
          <w:sz w:val="18"/>
        </w:rPr>
        <w:t xml:space="preserve">National Center for PTSD - PCL-5: </w:t>
      </w:r>
      <w:hyperlink r:id="rId17">
        <w:r>
          <w:rPr>
            <w:color w:val="2E746E"/>
            <w:u w:val="single"/>
          </w:rPr>
          <w:t>https://www.ptsd.va.gov/professional/assessment/adult-sr/ptsd-checklist.asp</w:t>
        </w:r>
      </w:hyperlink>
    </w:p>
    <w:p>
      <w:r>
        <w:rPr>
          <w:rFonts w:ascii="Calibri" w:hAnsi="Calibri"/>
          <w:b/>
          <w:color w:val="183B3A"/>
          <w:sz w:val="18"/>
        </w:rPr>
        <w:t xml:space="preserve">National Center for PTSD - CAPS-5: </w:t>
      </w:r>
      <w:hyperlink r:id="rId18">
        <w:r>
          <w:rPr>
            <w:color w:val="2E746E"/>
            <w:u w:val="single"/>
          </w:rPr>
          <w:t>https://www.ptsd.va.gov/professional/assessment/adult-int/caps.asp</w:t>
        </w:r>
      </w:hyperlink>
    </w:p>
    <w:p>
      <w:r>
        <w:rPr>
          <w:rFonts w:ascii="Calibri" w:hAnsi="Calibri"/>
          <w:b/>
          <w:color w:val="183B3A"/>
          <w:sz w:val="18"/>
        </w:rPr>
        <w:t xml:space="preserve">Document control: </w:t>
      </w:r>
      <w:r>
        <w:rPr>
          <w:rFonts w:ascii="Calibri" w:hAnsi="Calibri"/>
          <w:color w:val="5D6665"/>
          <w:sz w:val="18"/>
        </w:rPr>
        <w:t>Version 1.0 | Candidate register | Prepared 29 August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66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SafeSteps | Clinical Instrument and Assessment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B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D666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tga.gov.au/resources/guidance/understanding-how-we-regulate-software-based-medical-devices" TargetMode="External"/><Relationship Id="rId12" Type="http://schemas.openxmlformats.org/officeDocument/2006/relationships/hyperlink" Target="https://www.tga.gov.au/products/medical-devices/software-and-artificial-intelligence-ai/manufacturing/artificial-intelligence-ai-and-medical-device-software-regulation/evidence-requirements-software-using-ai" TargetMode="External"/><Relationship Id="rId13" Type="http://schemas.openxmlformats.org/officeDocument/2006/relationships/hyperlink" Target="https://www.psychologyboard.gov.au/Standards-and-Guidelines/Professional-practice-standards/Professional-competencies-for-psychology" TargetMode="External"/><Relationship Id="rId14" Type="http://schemas.openxmlformats.org/officeDocument/2006/relationships/hyperlink" Target="https://www.abs.gov.au/ausstats/abs%40.nsf/Lookup/by%20Subject/4363.0~2017-18~Main%20Features~Kessler%20Psychological%20Distress%20Scale%20-10%20%28K10%29~35" TargetMode="External"/><Relationship Id="rId15" Type="http://schemas.openxmlformats.org/officeDocument/2006/relationships/hyperlink" Target="https://www.who.int/publications/i/item/WHO-MSD-MSB-01.6a" TargetMode="External"/><Relationship Id="rId16" Type="http://schemas.openxmlformats.org/officeDocument/2006/relationships/hyperlink" Target="https://www.who.int/publications/i/item/978924159938-2" TargetMode="External"/><Relationship Id="rId17" Type="http://schemas.openxmlformats.org/officeDocument/2006/relationships/hyperlink" Target="https://www.ptsd.va.gov/professional/assessment/adult-sr/ptsd-checklist.asp" TargetMode="External"/><Relationship Id="rId18" Type="http://schemas.openxmlformats.org/officeDocument/2006/relationships/hyperlink" Target="https://www.ptsd.va.gov/professional/assessment/adult-int/cap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SafeSteps Clinical Instrument and Assessment Register</dc:title>
  <dc:subject/>
  <dc:creator>SafeSteps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