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D5A928"/>
          <w:sz w:val="20"/>
        </w:rPr>
        <w:t>SAFESTEPS SAFETY GOVERNANCE</w:t>
      </w:r>
    </w:p>
    <w:p>
      <w:pPr>
        <w:pStyle w:val="Title"/>
      </w:pPr>
      <w:r>
        <w:t>Clinical Risk Management and Safety File</w:t>
      </w:r>
    </w:p>
    <w:p>
      <w:pPr>
        <w:pStyle w:val="Subtitle"/>
      </w:pPr>
      <w:r>
        <w:t>Pre-market hazard register, safety controls, verification and incident response</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trPr>
        <w:tc>
          <w:tcPr>
            <w:tcW w:type="dxa" w:w="2500"/>
            <w:vAlign w:val="top"/>
            <w:tcMar>
              <w:top w:w="80" w:type="dxa"/>
              <w:bottom w:w="80" w:type="dxa"/>
              <w:start w:w="120" w:type="dxa"/>
              <w:end w:w="120" w:type="dxa"/>
            </w:tcMar>
            <w:shd w:fill="2E746E"/>
          </w:tcPr>
          <w:p>
            <w:r>
              <w:rPr>
                <w:rFonts w:ascii="Calibri" w:hAnsi="Calibri"/>
                <w:b/>
                <w:color w:val="FFFFFF"/>
                <w:sz w:val="18"/>
              </w:rPr>
              <w:t>Control</w:t>
            </w:r>
          </w:p>
        </w:tc>
        <w:tc>
          <w:tcPr>
            <w:tcW w:type="dxa" w:w="6860"/>
            <w:vAlign w:val="top"/>
            <w:tcMar>
              <w:top w:w="80" w:type="dxa"/>
              <w:bottom w:w="80" w:type="dxa"/>
              <w:start w:w="120" w:type="dxa"/>
              <w:end w:w="120" w:type="dxa"/>
            </w:tcMar>
            <w:shd w:fill="2E746E"/>
          </w:tcPr>
          <w:p>
            <w:r>
              <w:rPr>
                <w:rFonts w:ascii="Calibri" w:hAnsi="Calibri"/>
                <w:b/>
                <w:color w:val="FFFFFF"/>
                <w:sz w:val="18"/>
              </w:rPr>
              <w:t>Current value</w:t>
            </w:r>
          </w:p>
        </w:tc>
      </w:tr>
      <w:tr>
        <w:trPr>
          <w:cantSplit/>
        </w:trPr>
        <w:tc>
          <w:tcPr>
            <w:tcW w:type="dxa" w:w="2500"/>
            <w:vAlign w:val="top"/>
            <w:tcMar>
              <w:top w:w="80" w:type="dxa"/>
              <w:bottom w:w="80" w:type="dxa"/>
              <w:start w:w="120" w:type="dxa"/>
              <w:end w:w="120" w:type="dxa"/>
            </w:tcMar>
          </w:tcPr>
          <w:p>
            <w:r>
              <w:rPr>
                <w:rFonts w:ascii="Calibri" w:hAnsi="Calibri"/>
                <w:b/>
                <w:color w:val="183B3A"/>
                <w:sz w:val="18"/>
              </w:rPr>
              <w:t>Risk owner</w:t>
            </w:r>
          </w:p>
        </w:tc>
        <w:tc>
          <w:tcPr>
            <w:tcW w:type="dxa" w:w="6860"/>
            <w:vAlign w:val="top"/>
            <w:tcMar>
              <w:top w:w="80" w:type="dxa"/>
              <w:bottom w:w="80" w:type="dxa"/>
              <w:start w:w="120" w:type="dxa"/>
              <w:end w:w="120" w:type="dxa"/>
            </w:tcMar>
          </w:tcPr>
          <w:p>
            <w:r>
              <w:rPr>
                <w:rFonts w:ascii="Calibri" w:hAnsi="Calibri"/>
                <w:b w:val="0"/>
                <w:color w:val="000000"/>
                <w:sz w:val="18"/>
              </w:rPr>
              <w:t>[APPOINT ACCOUNTABLE SAFETY OWNER]</w:t>
            </w:r>
          </w:p>
        </w:tc>
      </w:tr>
      <w:tr>
        <w:trPr>
          <w:cantSplit/>
        </w:trPr>
        <w:tc>
          <w:tcPr>
            <w:tcW w:type="dxa" w:w="2500"/>
            <w:vAlign w:val="top"/>
            <w:tcMar>
              <w:top w:w="80" w:type="dxa"/>
              <w:bottom w:w="80" w:type="dxa"/>
              <w:start w:w="120" w:type="dxa"/>
              <w:end w:w="120" w:type="dxa"/>
            </w:tcMar>
          </w:tcPr>
          <w:p>
            <w:r>
              <w:rPr>
                <w:rFonts w:ascii="Calibri" w:hAnsi="Calibri"/>
                <w:b/>
                <w:color w:val="183B3A"/>
                <w:sz w:val="18"/>
              </w:rPr>
              <w:t>Product owner</w:t>
            </w:r>
          </w:p>
        </w:tc>
        <w:tc>
          <w:tcPr>
            <w:tcW w:type="dxa" w:w="6860"/>
            <w:vAlign w:val="top"/>
            <w:tcMar>
              <w:top w:w="80" w:type="dxa"/>
              <w:bottom w:w="80" w:type="dxa"/>
              <w:start w:w="120" w:type="dxa"/>
              <w:end w:w="120" w:type="dxa"/>
            </w:tcMar>
          </w:tcPr>
          <w:p>
            <w:r>
              <w:rPr>
                <w:rFonts w:ascii="Calibri" w:hAnsi="Calibri"/>
                <w:b w:val="0"/>
                <w:color w:val="000000"/>
                <w:sz w:val="18"/>
              </w:rPr>
              <w:t>Katrina Watts, SafeSteps</w:t>
            </w:r>
          </w:p>
        </w:tc>
      </w:tr>
      <w:tr>
        <w:trPr>
          <w:cantSplit/>
        </w:trPr>
        <w:tc>
          <w:tcPr>
            <w:tcW w:type="dxa" w:w="2500"/>
            <w:vAlign w:val="top"/>
            <w:tcMar>
              <w:top w:w="80" w:type="dxa"/>
              <w:bottom w:w="80" w:type="dxa"/>
              <w:start w:w="120" w:type="dxa"/>
              <w:end w:w="120" w:type="dxa"/>
            </w:tcMar>
          </w:tcPr>
          <w:p>
            <w:r>
              <w:rPr>
                <w:rFonts w:ascii="Calibri" w:hAnsi="Calibri"/>
                <w:b/>
                <w:color w:val="183B3A"/>
                <w:sz w:val="18"/>
              </w:rPr>
              <w:t>Version/date</w:t>
            </w:r>
          </w:p>
        </w:tc>
        <w:tc>
          <w:tcPr>
            <w:tcW w:type="dxa" w:w="6860"/>
            <w:vAlign w:val="top"/>
            <w:tcMar>
              <w:top w:w="80" w:type="dxa"/>
              <w:bottom w:w="80" w:type="dxa"/>
              <w:start w:w="120" w:type="dxa"/>
              <w:end w:w="120" w:type="dxa"/>
            </w:tcMar>
          </w:tcPr>
          <w:p>
            <w:r>
              <w:rPr>
                <w:rFonts w:ascii="Calibri" w:hAnsi="Calibri"/>
                <w:b w:val="0"/>
                <w:color w:val="000000"/>
                <w:sz w:val="18"/>
              </w:rPr>
              <w:t>Version 1.0 | 29 August 2026</w:t>
            </w:r>
          </w:p>
        </w:tc>
      </w:tr>
      <w:tr>
        <w:trPr>
          <w:cantSplit/>
        </w:trPr>
        <w:tc>
          <w:tcPr>
            <w:tcW w:type="dxa" w:w="2500"/>
            <w:vAlign w:val="top"/>
            <w:tcMar>
              <w:top w:w="80" w:type="dxa"/>
              <w:bottom w:w="80" w:type="dxa"/>
              <w:start w:w="120" w:type="dxa"/>
              <w:end w:w="120" w:type="dxa"/>
            </w:tcMar>
          </w:tcPr>
          <w:p>
            <w:r>
              <w:rPr>
                <w:rFonts w:ascii="Calibri" w:hAnsi="Calibri"/>
                <w:b/>
                <w:color w:val="183B3A"/>
                <w:sz w:val="18"/>
              </w:rPr>
              <w:t>Status</w:t>
            </w:r>
          </w:p>
        </w:tc>
        <w:tc>
          <w:tcPr>
            <w:tcW w:type="dxa" w:w="6860"/>
            <w:vAlign w:val="top"/>
            <w:tcMar>
              <w:top w:w="80" w:type="dxa"/>
              <w:bottom w:w="80" w:type="dxa"/>
              <w:start w:w="120" w:type="dxa"/>
              <w:end w:w="120" w:type="dxa"/>
            </w:tcMar>
          </w:tcPr>
          <w:p>
            <w:r>
              <w:rPr>
                <w:rFonts w:ascii="Calibri" w:hAnsi="Calibri"/>
                <w:b w:val="0"/>
                <w:color w:val="000000"/>
                <w:sz w:val="18"/>
              </w:rPr>
              <w:t>PRE-MARKET DRAFT - NOT AN ACCEPTED SAFETY CASE</w:t>
            </w:r>
          </w:p>
        </w:tc>
      </w:tr>
      <w:tr>
        <w:trPr>
          <w:cantSplit/>
        </w:trPr>
        <w:tc>
          <w:tcPr>
            <w:tcW w:type="dxa" w:w="2500"/>
            <w:vAlign w:val="top"/>
            <w:tcMar>
              <w:top w:w="80" w:type="dxa"/>
              <w:bottom w:w="80" w:type="dxa"/>
              <w:start w:w="120" w:type="dxa"/>
              <w:end w:w="120" w:type="dxa"/>
            </w:tcMar>
          </w:tcPr>
          <w:p>
            <w:r>
              <w:rPr>
                <w:rFonts w:ascii="Calibri" w:hAnsi="Calibri"/>
                <w:b/>
                <w:color w:val="183B3A"/>
                <w:sz w:val="18"/>
              </w:rPr>
              <w:t>Scope</w:t>
            </w:r>
          </w:p>
        </w:tc>
        <w:tc>
          <w:tcPr>
            <w:tcW w:type="dxa" w:w="6860"/>
            <w:vAlign w:val="top"/>
            <w:tcMar>
              <w:top w:w="80" w:type="dxa"/>
              <w:bottom w:w="80" w:type="dxa"/>
              <w:start w:w="120" w:type="dxa"/>
              <w:end w:w="120" w:type="dxa"/>
            </w:tcMar>
          </w:tcPr>
          <w:p>
            <w:r>
              <w:rPr>
                <w:rFonts w:ascii="Calibri" w:hAnsi="Calibri"/>
                <w:b w:val="0"/>
                <w:color w:val="000000"/>
                <w:sz w:val="18"/>
              </w:rPr>
              <w:t>Family support, evidence, AI Coach, screening, child/carer, messaging and professional review modules</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bottom w:w="80" w:type="dxa"/>
              <w:start w:w="120" w:type="dxa"/>
              <w:end w:w="120" w:type="dxa"/>
            </w:tcMar>
            <w:shd w:fill="EAF4F1"/>
          </w:tcPr>
          <w:p>
            <w:r>
              <w:rPr>
                <w:rFonts w:ascii="Calibri" w:hAnsi="Calibri"/>
                <w:b/>
                <w:color w:val="183B3A"/>
                <w:sz w:val="22"/>
              </w:rPr>
              <w:t xml:space="preserve">Release position  </w:t>
            </w:r>
            <w:r>
              <w:rPr>
                <w:rFonts w:ascii="Calibri" w:hAnsi="Calibri"/>
                <w:color w:val="183B3A"/>
                <w:sz w:val="22"/>
              </w:rPr>
              <w:t>No clinical, forensic, predictive or high-risk child-safety function may be released until its hazards, controls, verification evidence, residual risks, regulatory pathway and accountable approvals are complete. Human review alone is not an adequate control unless independence, competence, information, authority, timing and override behaviour are verified.</w:t>
            </w:r>
          </w:p>
        </w:tc>
      </w:tr>
    </w:tbl>
    <w:p>
      <w:pPr>
        <w:spacing w:after="0"/>
      </w:pPr>
    </w:p>
    <w:p>
      <w:pPr>
        <w:pStyle w:val="Heading1"/>
      </w:pPr>
      <w:r>
        <w:t>1. Purpose, scope and safety objectives</w:t>
      </w:r>
    </w:p>
    <w:p>
      <w:r>
        <w:t>This file establishes a preliminary risk-management framework for SafeSteps. It must become a living controlled record linked to product requirements, clinical evaluation, privacy and child-safety assessments, software testing, complaints, incidents and post-market monitoring.</w:t>
      </w:r>
    </w:p>
    <w:p>
      <w:pPr>
        <w:pStyle w:val="ListBullet"/>
      </w:pPr>
      <w:r>
        <w:t>Prevent death, serious harm, abuse, coercion, privacy exposure and delayed urgent care.</w:t>
      </w:r>
    </w:p>
    <w:p>
      <w:pPr>
        <w:pStyle w:val="ListBullet"/>
      </w:pPr>
      <w:r>
        <w:t>Prevent preliminary or disputed information being treated as diagnosis, proven fact or legal conclusion.</w:t>
      </w:r>
    </w:p>
    <w:p>
      <w:pPr>
        <w:pStyle w:val="ListBullet"/>
      </w:pPr>
      <w:r>
        <w:t>Prevent unfair adverse impact arising from bias, missing context, poverty, disability, culture, criminal history or worker conflict.</w:t>
      </w:r>
    </w:p>
    <w:p>
      <w:pPr>
        <w:pStyle w:val="ListBullet"/>
      </w:pPr>
      <w:r>
        <w:t>Preserve user agency, response rights, minimum-necessary sharing and transparent professional accountability.</w:t>
      </w:r>
    </w:p>
    <w:p>
      <w:pPr>
        <w:pStyle w:val="ListBullet"/>
      </w:pPr>
      <w:r>
        <w:t>Fail safely during offline use, connectivity loss, model failure, expired licences, invalid instruments and unavailable human support.</w:t>
      </w:r>
    </w:p>
    <w:p>
      <w:pPr>
        <w:pStyle w:val="Heading1"/>
      </w:pPr>
      <w:r>
        <w:t>2. Risk method and acceptance rules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trPr>
        <w:tc>
          <w:tcPr>
            <w:tcW w:type="dxa" w:w="1900"/>
            <w:vAlign w:val="top"/>
            <w:tcMar>
              <w:top w:w="80" w:type="dxa"/>
              <w:bottom w:w="80" w:type="dxa"/>
              <w:start w:w="120" w:type="dxa"/>
              <w:end w:w="120" w:type="dxa"/>
            </w:tcMar>
            <w:shd w:fill="2E746E"/>
          </w:tcPr>
          <w:p>
            <w:r>
              <w:rPr>
                <w:rFonts w:ascii="Calibri" w:hAnsi="Calibri"/>
                <w:b/>
                <w:color w:val="FFFFFF"/>
                <w:sz w:val="18"/>
              </w:rPr>
              <w:t>Severity</w:t>
            </w:r>
          </w:p>
        </w:tc>
        <w:tc>
          <w:tcPr>
            <w:tcW w:type="dxa" w:w="7460"/>
            <w:vAlign w:val="top"/>
            <w:tcMar>
              <w:top w:w="80" w:type="dxa"/>
              <w:bottom w:w="80" w:type="dxa"/>
              <w:start w:w="120" w:type="dxa"/>
              <w:end w:w="120" w:type="dxa"/>
            </w:tcMar>
            <w:shd w:fill="2E746E"/>
          </w:tcPr>
          <w:p>
            <w:r>
              <w:rPr>
                <w:rFonts w:ascii="Calibri" w:hAnsi="Calibri"/>
                <w:b/>
                <w:color w:val="FFFFFF"/>
                <w:sz w:val="18"/>
              </w:rPr>
              <w:t>Definition</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S1 Negligible</w:t>
            </w:r>
          </w:p>
        </w:tc>
        <w:tc>
          <w:tcPr>
            <w:tcW w:type="dxa" w:w="7460"/>
            <w:vAlign w:val="top"/>
            <w:tcMar>
              <w:top w:w="80" w:type="dxa"/>
              <w:bottom w:w="80" w:type="dxa"/>
              <w:start w:w="120" w:type="dxa"/>
              <w:end w:w="120" w:type="dxa"/>
            </w:tcMar>
          </w:tcPr>
          <w:p>
            <w:r>
              <w:rPr>
                <w:rFonts w:ascii="Calibri" w:hAnsi="Calibri"/>
                <w:b w:val="0"/>
                <w:color w:val="000000"/>
                <w:sz w:val="17"/>
              </w:rPr>
              <w:t>Temporary inconvenience; no meaningful safety, rights or case impact.</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S2 Minor</w:t>
            </w:r>
          </w:p>
        </w:tc>
        <w:tc>
          <w:tcPr>
            <w:tcW w:type="dxa" w:w="7460"/>
            <w:vAlign w:val="top"/>
            <w:tcMar>
              <w:top w:w="80" w:type="dxa"/>
              <w:bottom w:w="80" w:type="dxa"/>
              <w:start w:w="120" w:type="dxa"/>
              <w:end w:w="120" w:type="dxa"/>
            </w:tcMar>
          </w:tcPr>
          <w:p>
            <w:r>
              <w:rPr>
                <w:rFonts w:ascii="Calibri" w:hAnsi="Calibri"/>
                <w:b w:val="0"/>
                <w:color w:val="000000"/>
                <w:sz w:val="17"/>
              </w:rPr>
              <w:t>Temporary distress, minor privacy or workflow impact; readily reversible.</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S3 Serious</w:t>
            </w:r>
          </w:p>
        </w:tc>
        <w:tc>
          <w:tcPr>
            <w:tcW w:type="dxa" w:w="7460"/>
            <w:vAlign w:val="top"/>
            <w:tcMar>
              <w:top w:w="80" w:type="dxa"/>
              <w:bottom w:w="80" w:type="dxa"/>
              <w:start w:w="120" w:type="dxa"/>
              <w:end w:w="120" w:type="dxa"/>
            </w:tcMar>
          </w:tcPr>
          <w:p>
            <w:r>
              <w:rPr>
                <w:rFonts w:ascii="Calibri" w:hAnsi="Calibri"/>
                <w:b w:val="0"/>
                <w:color w:val="000000"/>
                <w:sz w:val="17"/>
              </w:rPr>
              <w:t>Clinical deterioration, substantial distress, significant privacy/rights harm or material case impact requiring intervention.</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S4 Critical</w:t>
            </w:r>
          </w:p>
        </w:tc>
        <w:tc>
          <w:tcPr>
            <w:tcW w:type="dxa" w:w="7460"/>
            <w:vAlign w:val="top"/>
            <w:tcMar>
              <w:top w:w="80" w:type="dxa"/>
              <w:bottom w:w="80" w:type="dxa"/>
              <w:start w:w="120" w:type="dxa"/>
              <w:end w:w="120" w:type="dxa"/>
            </w:tcMar>
          </w:tcPr>
          <w:p>
            <w:r>
              <w:rPr>
                <w:rFonts w:ascii="Calibri" w:hAnsi="Calibri"/>
                <w:b w:val="0"/>
                <w:color w:val="000000"/>
                <w:sz w:val="17"/>
              </w:rPr>
              <w:t>Serious injury, abuse exposure, major clinical or legal harm, irreversible family impact or large sensitive-data breach.</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S5 Catastrophic</w:t>
            </w:r>
          </w:p>
        </w:tc>
        <w:tc>
          <w:tcPr>
            <w:tcW w:type="dxa" w:w="7460"/>
            <w:vAlign w:val="top"/>
            <w:tcMar>
              <w:top w:w="80" w:type="dxa"/>
              <w:bottom w:w="80" w:type="dxa"/>
              <w:start w:w="120" w:type="dxa"/>
              <w:end w:w="120" w:type="dxa"/>
            </w:tcMar>
          </w:tcPr>
          <w:p>
            <w:r>
              <w:rPr>
                <w:rFonts w:ascii="Calibri" w:hAnsi="Calibri"/>
                <w:b w:val="0"/>
                <w:color w:val="000000"/>
                <w:sz w:val="17"/>
              </w:rPr>
              <w:t>Death, life-threatening harm, severe abuse, catastrophic child/family harm or widespread irreversible exposure.</w:t>
            </w:r>
          </w:p>
        </w:tc>
      </w:tr>
    </w:tbl>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trPr>
        <w:tc>
          <w:tcPr>
            <w:tcW w:type="dxa" w:w="1900"/>
            <w:vAlign w:val="top"/>
            <w:tcMar>
              <w:top w:w="80" w:type="dxa"/>
              <w:bottom w:w="80" w:type="dxa"/>
              <w:start w:w="120" w:type="dxa"/>
              <w:end w:w="120" w:type="dxa"/>
            </w:tcMar>
            <w:shd w:fill="2E746E"/>
          </w:tcPr>
          <w:p>
            <w:r>
              <w:rPr>
                <w:rFonts w:ascii="Calibri" w:hAnsi="Calibri"/>
                <w:b/>
                <w:color w:val="FFFFFF"/>
                <w:sz w:val="18"/>
              </w:rPr>
              <w:t>Likelihood</w:t>
            </w:r>
          </w:p>
        </w:tc>
        <w:tc>
          <w:tcPr>
            <w:tcW w:type="dxa" w:w="7460"/>
            <w:vAlign w:val="top"/>
            <w:tcMar>
              <w:top w:w="80" w:type="dxa"/>
              <w:bottom w:w="80" w:type="dxa"/>
              <w:start w:w="120" w:type="dxa"/>
              <w:end w:w="120" w:type="dxa"/>
            </w:tcMar>
            <w:shd w:fill="2E746E"/>
          </w:tcPr>
          <w:p>
            <w:r>
              <w:rPr>
                <w:rFonts w:ascii="Calibri" w:hAnsi="Calibri"/>
                <w:b/>
                <w:color w:val="FFFFFF"/>
                <w:sz w:val="18"/>
              </w:rPr>
              <w:t>Working definition</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L1 Rare</w:t>
            </w:r>
          </w:p>
        </w:tc>
        <w:tc>
          <w:tcPr>
            <w:tcW w:type="dxa" w:w="7460"/>
            <w:vAlign w:val="top"/>
            <w:tcMar>
              <w:top w:w="80" w:type="dxa"/>
              <w:bottom w:w="80" w:type="dxa"/>
              <w:start w:w="120" w:type="dxa"/>
              <w:end w:w="120" w:type="dxa"/>
            </w:tcMar>
          </w:tcPr>
          <w:p>
            <w:r>
              <w:rPr>
                <w:rFonts w:ascii="Calibri" w:hAnsi="Calibri"/>
                <w:b w:val="0"/>
                <w:color w:val="000000"/>
                <w:sz w:val="17"/>
              </w:rPr>
              <w:t>Credible only in exceptional circumstances.</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L2 Unlikely</w:t>
            </w:r>
          </w:p>
        </w:tc>
        <w:tc>
          <w:tcPr>
            <w:tcW w:type="dxa" w:w="7460"/>
            <w:vAlign w:val="top"/>
            <w:tcMar>
              <w:top w:w="80" w:type="dxa"/>
              <w:bottom w:w="80" w:type="dxa"/>
              <w:start w:w="120" w:type="dxa"/>
              <w:end w:w="120" w:type="dxa"/>
            </w:tcMar>
          </w:tcPr>
          <w:p>
            <w:r>
              <w:rPr>
                <w:rFonts w:ascii="Calibri" w:hAnsi="Calibri"/>
                <w:b w:val="0"/>
                <w:color w:val="000000"/>
                <w:sz w:val="17"/>
              </w:rPr>
              <w:t>Could occur but not expected in normal governed use.</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L3 Possible</w:t>
            </w:r>
          </w:p>
        </w:tc>
        <w:tc>
          <w:tcPr>
            <w:tcW w:type="dxa" w:w="7460"/>
            <w:vAlign w:val="top"/>
            <w:tcMar>
              <w:top w:w="80" w:type="dxa"/>
              <w:bottom w:w="80" w:type="dxa"/>
              <w:start w:w="120" w:type="dxa"/>
              <w:end w:w="120" w:type="dxa"/>
            </w:tcMar>
          </w:tcPr>
          <w:p>
            <w:r>
              <w:rPr>
                <w:rFonts w:ascii="Calibri" w:hAnsi="Calibri"/>
                <w:b w:val="0"/>
                <w:color w:val="000000"/>
                <w:sz w:val="17"/>
              </w:rPr>
              <w:t>Might occur during the product lifecycle.</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L4 Likely</w:t>
            </w:r>
          </w:p>
        </w:tc>
        <w:tc>
          <w:tcPr>
            <w:tcW w:type="dxa" w:w="7460"/>
            <w:vAlign w:val="top"/>
            <w:tcMar>
              <w:top w:w="80" w:type="dxa"/>
              <w:bottom w:w="80" w:type="dxa"/>
              <w:start w:w="120" w:type="dxa"/>
              <w:end w:w="120" w:type="dxa"/>
            </w:tcMar>
          </w:tcPr>
          <w:p>
            <w:r>
              <w:rPr>
                <w:rFonts w:ascii="Calibri" w:hAnsi="Calibri"/>
                <w:b w:val="0"/>
                <w:color w:val="000000"/>
                <w:sz w:val="17"/>
              </w:rPr>
              <w:t>Expected to occur repeatedly without strong controls.</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L5 Frequent</w:t>
            </w:r>
          </w:p>
        </w:tc>
        <w:tc>
          <w:tcPr>
            <w:tcW w:type="dxa" w:w="7460"/>
            <w:vAlign w:val="top"/>
            <w:tcMar>
              <w:top w:w="80" w:type="dxa"/>
              <w:bottom w:w="80" w:type="dxa"/>
              <w:start w:w="120" w:type="dxa"/>
              <w:end w:w="120" w:type="dxa"/>
            </w:tcMar>
          </w:tcPr>
          <w:p>
            <w:r>
              <w:rPr>
                <w:rFonts w:ascii="Calibri" w:hAnsi="Calibri"/>
                <w:b w:val="0"/>
                <w:color w:val="000000"/>
                <w:sz w:val="17"/>
              </w:rPr>
              <w:t>Expected often or inherent in ordinary use.</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bottom w:w="80" w:type="dxa"/>
              <w:start w:w="120" w:type="dxa"/>
              <w:end w:w="120" w:type="dxa"/>
            </w:tcMar>
            <w:shd w:fill="FCE8E6"/>
          </w:tcPr>
          <w:p>
            <w:r>
              <w:rPr>
                <w:rFonts w:ascii="Calibri" w:hAnsi="Calibri"/>
                <w:b/>
                <w:color w:val="7A1616"/>
                <w:sz w:val="22"/>
              </w:rPr>
              <w:t xml:space="preserve">Acceptance rule  </w:t>
            </w:r>
            <w:r>
              <w:rPr>
                <w:rFonts w:ascii="Calibri" w:hAnsi="Calibri"/>
                <w:color w:val="7A1616"/>
                <w:sz w:val="22"/>
              </w:rPr>
              <w:t>Any hazard capable of S4 or S5 harm requires explicit safety-owner and domain-expert approval even when estimated residual likelihood is rare. Unresolved catastrophic scenarios, unverified emergency controls, unlawful access, or automatic child-protection/clinical decisions are release blockers.</w:t>
            </w:r>
          </w:p>
        </w:tc>
      </w:tr>
    </w:tbl>
    <w:p>
      <w:pPr>
        <w:spacing w:after="0"/>
      </w:pPr>
    </w:p>
    <w:p>
      <w:pPr>
        <w:pStyle w:val="Heading1"/>
      </w:pPr>
      <w:r>
        <w:t>3. Preliminary hazard register</w:t>
      </w:r>
    </w:p>
    <w:tbl>
      <w:tblPr>
        <w:tblStyle w:val="TableGrid"/>
        <w:tblW w:type="dxa" w:w="9360"/>
        <w:tblLayout w:type="fixed"/>
        <w:tblLook w:firstColumn="1" w:firstRow="1" w:lastColumn="0" w:lastRow="0" w:noHBand="0" w:noVBand="1" w:val="04A0"/>
        <w:jc w:val="left"/>
        <w:tblInd w:w="120" w:type="dxa"/>
      </w:tblPr>
      <w:tblGrid>
        <w:gridCol w:w="520"/>
        <w:gridCol w:w="1180"/>
        <w:gridCol w:w="1320"/>
        <w:gridCol w:w="720"/>
        <w:gridCol w:w="2410"/>
        <w:gridCol w:w="1970"/>
        <w:gridCol w:w="1240"/>
      </w:tblGrid>
      <w:tr>
        <w:trPr>
          <w:tblHeader/>
        </w:trPr>
        <w:tc>
          <w:tcPr>
            <w:tcW w:type="dxa" w:w="520"/>
            <w:vAlign w:val="top"/>
            <w:tcMar>
              <w:top w:w="80" w:type="dxa"/>
              <w:bottom w:w="80" w:type="dxa"/>
              <w:start w:w="120" w:type="dxa"/>
              <w:end w:w="120" w:type="dxa"/>
            </w:tcMar>
            <w:shd w:fill="2E746E"/>
          </w:tcPr>
          <w:p>
            <w:r>
              <w:rPr>
                <w:rFonts w:ascii="Calibri" w:hAnsi="Calibri"/>
                <w:b/>
                <w:color w:val="FFFFFF"/>
                <w:sz w:val="18"/>
              </w:rPr>
              <w:t>ID</w:t>
            </w:r>
          </w:p>
        </w:tc>
        <w:tc>
          <w:tcPr>
            <w:tcW w:type="dxa" w:w="1180"/>
            <w:vAlign w:val="top"/>
            <w:tcMar>
              <w:top w:w="80" w:type="dxa"/>
              <w:bottom w:w="80" w:type="dxa"/>
              <w:start w:w="120" w:type="dxa"/>
              <w:end w:w="120" w:type="dxa"/>
            </w:tcMar>
            <w:shd w:fill="2E746E"/>
          </w:tcPr>
          <w:p>
            <w:r>
              <w:rPr>
                <w:rFonts w:ascii="Calibri" w:hAnsi="Calibri"/>
                <w:b/>
                <w:color w:val="FFFFFF"/>
                <w:sz w:val="18"/>
              </w:rPr>
              <w:t>Hazard/event</w:t>
            </w:r>
          </w:p>
        </w:tc>
        <w:tc>
          <w:tcPr>
            <w:tcW w:type="dxa" w:w="1320"/>
            <w:vAlign w:val="top"/>
            <w:tcMar>
              <w:top w:w="80" w:type="dxa"/>
              <w:bottom w:w="80" w:type="dxa"/>
              <w:start w:w="120" w:type="dxa"/>
              <w:end w:w="120" w:type="dxa"/>
            </w:tcMar>
            <w:shd w:fill="2E746E"/>
          </w:tcPr>
          <w:p>
            <w:r>
              <w:rPr>
                <w:rFonts w:ascii="Calibri" w:hAnsi="Calibri"/>
                <w:b/>
                <w:color w:val="FFFFFF"/>
                <w:sz w:val="18"/>
              </w:rPr>
              <w:t>Potential harm</w:t>
            </w:r>
          </w:p>
        </w:tc>
        <w:tc>
          <w:tcPr>
            <w:tcW w:type="dxa" w:w="720"/>
            <w:vAlign w:val="top"/>
            <w:tcMar>
              <w:top w:w="80" w:type="dxa"/>
              <w:bottom w:w="80" w:type="dxa"/>
              <w:start w:w="120" w:type="dxa"/>
              <w:end w:w="120" w:type="dxa"/>
            </w:tcMar>
            <w:shd w:fill="2E746E"/>
          </w:tcPr>
          <w:p>
            <w:r>
              <w:rPr>
                <w:rFonts w:ascii="Calibri" w:hAnsi="Calibri"/>
                <w:b/>
                <w:color w:val="FFFFFF"/>
                <w:sz w:val="18"/>
              </w:rPr>
              <w:t>Initial</w:t>
            </w:r>
          </w:p>
        </w:tc>
        <w:tc>
          <w:tcPr>
            <w:tcW w:type="dxa" w:w="2410"/>
            <w:vAlign w:val="top"/>
            <w:tcMar>
              <w:top w:w="80" w:type="dxa"/>
              <w:bottom w:w="80" w:type="dxa"/>
              <w:start w:w="120" w:type="dxa"/>
              <w:end w:w="120" w:type="dxa"/>
            </w:tcMar>
            <w:shd w:fill="2E746E"/>
          </w:tcPr>
          <w:p>
            <w:r>
              <w:rPr>
                <w:rFonts w:ascii="Calibri" w:hAnsi="Calibri"/>
                <w:b/>
                <w:color w:val="FFFFFF"/>
                <w:sz w:val="18"/>
              </w:rPr>
              <w:t>Required controls</w:t>
            </w:r>
          </w:p>
        </w:tc>
        <w:tc>
          <w:tcPr>
            <w:tcW w:type="dxa" w:w="1970"/>
            <w:vAlign w:val="top"/>
            <w:tcMar>
              <w:top w:w="80" w:type="dxa"/>
              <w:bottom w:w="80" w:type="dxa"/>
              <w:start w:w="120" w:type="dxa"/>
              <w:end w:w="120" w:type="dxa"/>
            </w:tcMar>
            <w:shd w:fill="2E746E"/>
          </w:tcPr>
          <w:p>
            <w:r>
              <w:rPr>
                <w:rFonts w:ascii="Calibri" w:hAnsi="Calibri"/>
                <w:b/>
                <w:color w:val="FFFFFF"/>
                <w:sz w:val="18"/>
              </w:rPr>
              <w:t>Verification evidence</w:t>
            </w:r>
          </w:p>
        </w:tc>
        <w:tc>
          <w:tcPr>
            <w:tcW w:type="dxa" w:w="1240"/>
            <w:vAlign w:val="top"/>
            <w:tcMar>
              <w:top w:w="80" w:type="dxa"/>
              <w:bottom w:w="80" w:type="dxa"/>
              <w:start w:w="120" w:type="dxa"/>
              <w:end w:w="120" w:type="dxa"/>
            </w:tcMar>
            <w:shd w:fill="2E746E"/>
          </w:tcPr>
          <w:p>
            <w:r>
              <w:rPr>
                <w:rFonts w:ascii="Calibri" w:hAnsi="Calibri"/>
                <w:b/>
                <w:color w:val="FFFFFF"/>
                <w:sz w:val="18"/>
              </w:rPr>
              <w:t>Status</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H01</w:t>
            </w:r>
          </w:p>
        </w:tc>
        <w:tc>
          <w:tcPr>
            <w:tcW w:type="dxa" w:w="1180"/>
            <w:vAlign w:val="top"/>
            <w:tcMar>
              <w:top w:w="80" w:type="dxa"/>
              <w:bottom w:w="80" w:type="dxa"/>
              <w:start w:w="120" w:type="dxa"/>
              <w:end w:w="120" w:type="dxa"/>
            </w:tcMar>
          </w:tcPr>
          <w:p>
            <w:r>
              <w:rPr>
                <w:rFonts w:ascii="Calibri" w:hAnsi="Calibri"/>
                <w:b w:val="0"/>
                <w:color w:val="000000"/>
                <w:sz w:val="13"/>
              </w:rPr>
              <w:t>Missed suicide/self-harm signal</w:t>
            </w:r>
          </w:p>
        </w:tc>
        <w:tc>
          <w:tcPr>
            <w:tcW w:type="dxa" w:w="1320"/>
            <w:vAlign w:val="top"/>
            <w:tcMar>
              <w:top w:w="80" w:type="dxa"/>
              <w:bottom w:w="80" w:type="dxa"/>
              <w:start w:w="120" w:type="dxa"/>
              <w:end w:w="120" w:type="dxa"/>
            </w:tcMar>
          </w:tcPr>
          <w:p>
            <w:r>
              <w:rPr>
                <w:rFonts w:ascii="Calibri" w:hAnsi="Calibri"/>
                <w:b w:val="0"/>
                <w:color w:val="000000"/>
                <w:sz w:val="13"/>
              </w:rPr>
              <w:t>Delayed urgent help; death or injury</w:t>
            </w:r>
          </w:p>
        </w:tc>
        <w:tc>
          <w:tcPr>
            <w:tcW w:type="dxa" w:w="720"/>
            <w:vAlign w:val="top"/>
            <w:tcMar>
              <w:top w:w="80" w:type="dxa"/>
              <w:bottom w:w="80" w:type="dxa"/>
              <w:start w:w="120" w:type="dxa"/>
              <w:end w:w="120" w:type="dxa"/>
            </w:tcMar>
          </w:tcPr>
          <w:p>
            <w:r>
              <w:rPr>
                <w:rFonts w:ascii="Calibri" w:hAnsi="Calibri"/>
                <w:b w:val="0"/>
                <w:color w:val="000000"/>
                <w:sz w:val="13"/>
              </w:rPr>
              <w:t>S5/L3</w:t>
            </w:r>
          </w:p>
        </w:tc>
        <w:tc>
          <w:tcPr>
            <w:tcW w:type="dxa" w:w="2410"/>
            <w:vAlign w:val="top"/>
            <w:tcMar>
              <w:top w:w="80" w:type="dxa"/>
              <w:bottom w:w="80" w:type="dxa"/>
              <w:start w:w="120" w:type="dxa"/>
              <w:end w:w="120" w:type="dxa"/>
            </w:tcMar>
          </w:tcPr>
          <w:p>
            <w:r>
              <w:rPr>
                <w:rFonts w:ascii="Calibri" w:hAnsi="Calibri"/>
                <w:b w:val="0"/>
                <w:color w:val="000000"/>
                <w:sz w:val="13"/>
              </w:rPr>
              <w:t>Independent safety classifier/rules; clear limits; crisis flow; trained human escalation; local emergency options</w:t>
            </w:r>
          </w:p>
        </w:tc>
        <w:tc>
          <w:tcPr>
            <w:tcW w:type="dxa" w:w="1970"/>
            <w:vAlign w:val="top"/>
            <w:tcMar>
              <w:top w:w="80" w:type="dxa"/>
              <w:bottom w:w="80" w:type="dxa"/>
              <w:start w:w="120" w:type="dxa"/>
              <w:end w:w="120" w:type="dxa"/>
            </w:tcMar>
          </w:tcPr>
          <w:p>
            <w:r>
              <w:rPr>
                <w:rFonts w:ascii="Calibri" w:hAnsi="Calibri"/>
                <w:b w:val="0"/>
                <w:color w:val="000000"/>
                <w:sz w:val="13"/>
              </w:rPr>
              <w:t>Clinical scenario testing; false-negative review; response-time drills</w:t>
            </w:r>
          </w:p>
        </w:tc>
        <w:tc>
          <w:tcPr>
            <w:tcW w:type="dxa" w:w="1240"/>
            <w:vAlign w:val="top"/>
            <w:tcMar>
              <w:top w:w="80" w:type="dxa"/>
              <w:bottom w:w="80" w:type="dxa"/>
              <w:start w:w="120" w:type="dxa"/>
              <w:end w:w="120" w:type="dxa"/>
            </w:tcMar>
          </w:tcPr>
          <w:p>
            <w:r>
              <w:rPr>
                <w:rFonts w:ascii="Calibri" w:hAnsi="Calibri"/>
                <w:b w:val="0"/>
                <w:color w:val="000000"/>
                <w:sz w:val="13"/>
              </w:rPr>
              <w:t>OPEN - BLOCKER</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H02</w:t>
            </w:r>
          </w:p>
        </w:tc>
        <w:tc>
          <w:tcPr>
            <w:tcW w:type="dxa" w:w="1180"/>
            <w:vAlign w:val="top"/>
            <w:tcMar>
              <w:top w:w="80" w:type="dxa"/>
              <w:bottom w:w="80" w:type="dxa"/>
              <w:start w:w="120" w:type="dxa"/>
              <w:end w:w="120" w:type="dxa"/>
            </w:tcMar>
          </w:tcPr>
          <w:p>
            <w:r>
              <w:rPr>
                <w:rFonts w:ascii="Calibri" w:hAnsi="Calibri"/>
                <w:b w:val="0"/>
                <w:color w:val="000000"/>
                <w:sz w:val="13"/>
              </w:rPr>
              <w:t>Unsafe DFV device use or disclosure</w:t>
            </w:r>
          </w:p>
        </w:tc>
        <w:tc>
          <w:tcPr>
            <w:tcW w:type="dxa" w:w="1320"/>
            <w:vAlign w:val="top"/>
            <w:tcMar>
              <w:top w:w="80" w:type="dxa"/>
              <w:bottom w:w="80" w:type="dxa"/>
              <w:start w:w="120" w:type="dxa"/>
              <w:end w:w="120" w:type="dxa"/>
            </w:tcMar>
          </w:tcPr>
          <w:p>
            <w:r>
              <w:rPr>
                <w:rFonts w:ascii="Calibri" w:hAnsi="Calibri"/>
                <w:b w:val="0"/>
                <w:color w:val="000000"/>
                <w:sz w:val="13"/>
              </w:rPr>
              <w:t>Perpetrator detects plan; escalation of violence</w:t>
            </w:r>
          </w:p>
        </w:tc>
        <w:tc>
          <w:tcPr>
            <w:tcW w:type="dxa" w:w="720"/>
            <w:vAlign w:val="top"/>
            <w:tcMar>
              <w:top w:w="80" w:type="dxa"/>
              <w:bottom w:w="80" w:type="dxa"/>
              <w:start w:w="120" w:type="dxa"/>
              <w:end w:w="120" w:type="dxa"/>
            </w:tcMar>
          </w:tcPr>
          <w:p>
            <w:r>
              <w:rPr>
                <w:rFonts w:ascii="Calibri" w:hAnsi="Calibri"/>
                <w:b w:val="0"/>
                <w:color w:val="000000"/>
                <w:sz w:val="13"/>
              </w:rPr>
              <w:t>S5/L3</w:t>
            </w:r>
          </w:p>
        </w:tc>
        <w:tc>
          <w:tcPr>
            <w:tcW w:type="dxa" w:w="2410"/>
            <w:vAlign w:val="top"/>
            <w:tcMar>
              <w:top w:w="80" w:type="dxa"/>
              <w:bottom w:w="80" w:type="dxa"/>
              <w:start w:w="120" w:type="dxa"/>
              <w:end w:w="120" w:type="dxa"/>
            </w:tcMar>
          </w:tcPr>
          <w:p>
            <w:r>
              <w:rPr>
                <w:rFonts w:ascii="Calibri" w:hAnsi="Calibri"/>
                <w:b w:val="0"/>
                <w:color w:val="000000"/>
                <w:sz w:val="13"/>
              </w:rPr>
              <w:t>Quick exit; neutral notifications; no unsafe history; device-safety check; minimum disclosure; specialist-designed safety planning</w:t>
            </w:r>
          </w:p>
        </w:tc>
        <w:tc>
          <w:tcPr>
            <w:tcW w:type="dxa" w:w="1970"/>
            <w:vAlign w:val="top"/>
            <w:tcMar>
              <w:top w:w="80" w:type="dxa"/>
              <w:bottom w:w="80" w:type="dxa"/>
              <w:start w:w="120" w:type="dxa"/>
              <w:end w:w="120" w:type="dxa"/>
            </w:tcMar>
          </w:tcPr>
          <w:p>
            <w:r>
              <w:rPr>
                <w:rFonts w:ascii="Calibri" w:hAnsi="Calibri"/>
                <w:b w:val="0"/>
                <w:color w:val="000000"/>
                <w:sz w:val="13"/>
              </w:rPr>
              <w:t>Survivor-led threat modelling; red-team tests; lock-screen review</w:t>
            </w:r>
          </w:p>
        </w:tc>
        <w:tc>
          <w:tcPr>
            <w:tcW w:type="dxa" w:w="1240"/>
            <w:vAlign w:val="top"/>
            <w:tcMar>
              <w:top w:w="80" w:type="dxa"/>
              <w:bottom w:w="80" w:type="dxa"/>
              <w:start w:w="120" w:type="dxa"/>
              <w:end w:w="120" w:type="dxa"/>
            </w:tcMar>
          </w:tcPr>
          <w:p>
            <w:r>
              <w:rPr>
                <w:rFonts w:ascii="Calibri" w:hAnsi="Calibri"/>
                <w:b w:val="0"/>
                <w:color w:val="000000"/>
                <w:sz w:val="13"/>
              </w:rPr>
              <w:t>OPEN - BLOCKER</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H03</w:t>
            </w:r>
          </w:p>
        </w:tc>
        <w:tc>
          <w:tcPr>
            <w:tcW w:type="dxa" w:w="1180"/>
            <w:vAlign w:val="top"/>
            <w:tcMar>
              <w:top w:w="80" w:type="dxa"/>
              <w:bottom w:w="80" w:type="dxa"/>
              <w:start w:w="120" w:type="dxa"/>
              <w:end w:w="120" w:type="dxa"/>
            </w:tcMar>
          </w:tcPr>
          <w:p>
            <w:r>
              <w:rPr>
                <w:rFonts w:ascii="Calibri" w:hAnsi="Calibri"/>
                <w:b w:val="0"/>
                <w:color w:val="000000"/>
                <w:sz w:val="13"/>
              </w:rPr>
              <w:t>Child abuse/immediate danger not escalated</w:t>
            </w:r>
          </w:p>
        </w:tc>
        <w:tc>
          <w:tcPr>
            <w:tcW w:type="dxa" w:w="1320"/>
            <w:vAlign w:val="top"/>
            <w:tcMar>
              <w:top w:w="80" w:type="dxa"/>
              <w:bottom w:w="80" w:type="dxa"/>
              <w:start w:w="120" w:type="dxa"/>
              <w:end w:w="120" w:type="dxa"/>
            </w:tcMar>
          </w:tcPr>
          <w:p>
            <w:r>
              <w:rPr>
                <w:rFonts w:ascii="Calibri" w:hAnsi="Calibri"/>
                <w:b w:val="0"/>
                <w:color w:val="000000"/>
                <w:sz w:val="13"/>
              </w:rPr>
              <w:t>Continued harm to child</w:t>
            </w:r>
          </w:p>
        </w:tc>
        <w:tc>
          <w:tcPr>
            <w:tcW w:type="dxa" w:w="720"/>
            <w:vAlign w:val="top"/>
            <w:tcMar>
              <w:top w:w="80" w:type="dxa"/>
              <w:bottom w:w="80" w:type="dxa"/>
              <w:start w:w="120" w:type="dxa"/>
              <w:end w:w="120" w:type="dxa"/>
            </w:tcMar>
          </w:tcPr>
          <w:p>
            <w:r>
              <w:rPr>
                <w:rFonts w:ascii="Calibri" w:hAnsi="Calibri"/>
                <w:b w:val="0"/>
                <w:color w:val="000000"/>
                <w:sz w:val="13"/>
              </w:rPr>
              <w:t>S5/L3</w:t>
            </w:r>
          </w:p>
        </w:tc>
        <w:tc>
          <w:tcPr>
            <w:tcW w:type="dxa" w:w="2410"/>
            <w:vAlign w:val="top"/>
            <w:tcMar>
              <w:top w:w="80" w:type="dxa"/>
              <w:bottom w:w="80" w:type="dxa"/>
              <w:start w:w="120" w:type="dxa"/>
              <w:end w:w="120" w:type="dxa"/>
            </w:tcMar>
          </w:tcPr>
          <w:p>
            <w:r>
              <w:rPr>
                <w:rFonts w:ascii="Calibri" w:hAnsi="Calibri"/>
                <w:b w:val="0"/>
                <w:color w:val="000000"/>
                <w:sz w:val="13"/>
              </w:rPr>
              <w:t>Age-appropriate disclosure flow; jurisdictional protocol; trained safeguarding review; emergency path; audit</w:t>
            </w:r>
          </w:p>
        </w:tc>
        <w:tc>
          <w:tcPr>
            <w:tcW w:type="dxa" w:w="1970"/>
            <w:vAlign w:val="top"/>
            <w:tcMar>
              <w:top w:w="80" w:type="dxa"/>
              <w:bottom w:w="80" w:type="dxa"/>
              <w:start w:w="120" w:type="dxa"/>
              <w:end w:w="120" w:type="dxa"/>
            </w:tcMar>
          </w:tcPr>
          <w:p>
            <w:r>
              <w:rPr>
                <w:rFonts w:ascii="Calibri" w:hAnsi="Calibri"/>
                <w:b w:val="0"/>
                <w:color w:val="000000"/>
                <w:sz w:val="13"/>
              </w:rPr>
              <w:t>Safeguarding simulations; after-hours drills; legal review</w:t>
            </w:r>
          </w:p>
        </w:tc>
        <w:tc>
          <w:tcPr>
            <w:tcW w:type="dxa" w:w="1240"/>
            <w:vAlign w:val="top"/>
            <w:tcMar>
              <w:top w:w="80" w:type="dxa"/>
              <w:bottom w:w="80" w:type="dxa"/>
              <w:start w:w="120" w:type="dxa"/>
              <w:end w:w="120" w:type="dxa"/>
            </w:tcMar>
          </w:tcPr>
          <w:p>
            <w:r>
              <w:rPr>
                <w:rFonts w:ascii="Calibri" w:hAnsi="Calibri"/>
                <w:b w:val="0"/>
                <w:color w:val="000000"/>
                <w:sz w:val="13"/>
              </w:rPr>
              <w:t>OPEN - BLOCKER</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H04</w:t>
            </w:r>
          </w:p>
        </w:tc>
        <w:tc>
          <w:tcPr>
            <w:tcW w:type="dxa" w:w="1180"/>
            <w:vAlign w:val="top"/>
            <w:tcMar>
              <w:top w:w="80" w:type="dxa"/>
              <w:bottom w:w="80" w:type="dxa"/>
              <w:start w:w="120" w:type="dxa"/>
              <w:end w:w="120" w:type="dxa"/>
            </w:tcMar>
          </w:tcPr>
          <w:p>
            <w:r>
              <w:rPr>
                <w:rFonts w:ascii="Calibri" w:hAnsi="Calibri"/>
                <w:b w:val="0"/>
                <w:color w:val="000000"/>
                <w:sz w:val="13"/>
              </w:rPr>
              <w:t>False reassurance from screen/AI</w:t>
            </w:r>
          </w:p>
        </w:tc>
        <w:tc>
          <w:tcPr>
            <w:tcW w:type="dxa" w:w="1320"/>
            <w:vAlign w:val="top"/>
            <w:tcMar>
              <w:top w:w="80" w:type="dxa"/>
              <w:bottom w:w="80" w:type="dxa"/>
              <w:start w:w="120" w:type="dxa"/>
              <w:end w:w="120" w:type="dxa"/>
            </w:tcMar>
          </w:tcPr>
          <w:p>
            <w:r>
              <w:rPr>
                <w:rFonts w:ascii="Calibri" w:hAnsi="Calibri"/>
                <w:b w:val="0"/>
                <w:color w:val="000000"/>
                <w:sz w:val="13"/>
              </w:rPr>
              <w:t>Care delayed; deterioration</w:t>
            </w:r>
          </w:p>
        </w:tc>
        <w:tc>
          <w:tcPr>
            <w:tcW w:type="dxa" w:w="720"/>
            <w:vAlign w:val="top"/>
            <w:tcMar>
              <w:top w:w="80" w:type="dxa"/>
              <w:bottom w:w="80" w:type="dxa"/>
              <w:start w:w="120" w:type="dxa"/>
              <w:end w:w="120" w:type="dxa"/>
            </w:tcMar>
          </w:tcPr>
          <w:p>
            <w:r>
              <w:rPr>
                <w:rFonts w:ascii="Calibri" w:hAnsi="Calibri"/>
                <w:b w:val="0"/>
                <w:color w:val="000000"/>
                <w:sz w:val="13"/>
              </w:rPr>
              <w:t>S4/L3</w:t>
            </w:r>
          </w:p>
        </w:tc>
        <w:tc>
          <w:tcPr>
            <w:tcW w:type="dxa" w:w="2410"/>
            <w:vAlign w:val="top"/>
            <w:tcMar>
              <w:top w:w="80" w:type="dxa"/>
              <w:bottom w:w="80" w:type="dxa"/>
              <w:start w:w="120" w:type="dxa"/>
              <w:end w:w="120" w:type="dxa"/>
            </w:tcMar>
          </w:tcPr>
          <w:p>
            <w:r>
              <w:rPr>
                <w:rFonts w:ascii="Calibri" w:hAnsi="Calibri"/>
                <w:b w:val="0"/>
                <w:color w:val="000000"/>
                <w:sz w:val="13"/>
              </w:rPr>
              <w:t>Not-a-diagnosis label; uncertainty; urgent symptoms override score; human options; monitoring</w:t>
            </w:r>
          </w:p>
        </w:tc>
        <w:tc>
          <w:tcPr>
            <w:tcW w:type="dxa" w:w="1970"/>
            <w:vAlign w:val="top"/>
            <w:tcMar>
              <w:top w:w="80" w:type="dxa"/>
              <w:bottom w:w="80" w:type="dxa"/>
              <w:start w:w="120" w:type="dxa"/>
              <w:end w:w="120" w:type="dxa"/>
            </w:tcMar>
          </w:tcPr>
          <w:p>
            <w:r>
              <w:rPr>
                <w:rFonts w:ascii="Calibri" w:hAnsi="Calibri"/>
                <w:b w:val="0"/>
                <w:color w:val="000000"/>
                <w:sz w:val="13"/>
              </w:rPr>
              <w:t>Comprehension and false-negative testing</w:t>
            </w:r>
          </w:p>
        </w:tc>
        <w:tc>
          <w:tcPr>
            <w:tcW w:type="dxa" w:w="1240"/>
            <w:vAlign w:val="top"/>
            <w:tcMar>
              <w:top w:w="80" w:type="dxa"/>
              <w:bottom w:w="80" w:type="dxa"/>
              <w:start w:w="120" w:type="dxa"/>
              <w:end w:w="120" w:type="dxa"/>
            </w:tcMar>
          </w:tcPr>
          <w:p>
            <w:r>
              <w:rPr>
                <w:rFonts w:ascii="Calibri" w:hAnsi="Calibri"/>
                <w:b w:val="0"/>
                <w:color w:val="000000"/>
                <w:sz w:val="13"/>
              </w:rPr>
              <w:t>OPEN</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H05</w:t>
            </w:r>
          </w:p>
        </w:tc>
        <w:tc>
          <w:tcPr>
            <w:tcW w:type="dxa" w:w="1180"/>
            <w:vAlign w:val="top"/>
            <w:tcMar>
              <w:top w:w="80" w:type="dxa"/>
              <w:bottom w:w="80" w:type="dxa"/>
              <w:start w:w="120" w:type="dxa"/>
              <w:end w:w="120" w:type="dxa"/>
            </w:tcMar>
          </w:tcPr>
          <w:p>
            <w:r>
              <w:rPr>
                <w:rFonts w:ascii="Calibri" w:hAnsi="Calibri"/>
                <w:b w:val="0"/>
                <w:color w:val="000000"/>
                <w:sz w:val="13"/>
              </w:rPr>
              <w:t>False positive or stigmatising output</w:t>
            </w:r>
          </w:p>
        </w:tc>
        <w:tc>
          <w:tcPr>
            <w:tcW w:type="dxa" w:w="1320"/>
            <w:vAlign w:val="top"/>
            <w:tcMar>
              <w:top w:w="80" w:type="dxa"/>
              <w:bottom w:w="80" w:type="dxa"/>
              <w:start w:w="120" w:type="dxa"/>
              <w:end w:w="120" w:type="dxa"/>
            </w:tcMar>
          </w:tcPr>
          <w:p>
            <w:r>
              <w:rPr>
                <w:rFonts w:ascii="Calibri" w:hAnsi="Calibri"/>
                <w:b w:val="0"/>
                <w:color w:val="000000"/>
                <w:sz w:val="13"/>
              </w:rPr>
              <w:t>Distress, discrimination, unfair case impact</w:t>
            </w:r>
          </w:p>
        </w:tc>
        <w:tc>
          <w:tcPr>
            <w:tcW w:type="dxa" w:w="720"/>
            <w:vAlign w:val="top"/>
            <w:tcMar>
              <w:top w:w="80" w:type="dxa"/>
              <w:bottom w:w="80" w:type="dxa"/>
              <w:start w:w="120" w:type="dxa"/>
              <w:end w:w="120" w:type="dxa"/>
            </w:tcMar>
          </w:tcPr>
          <w:p>
            <w:r>
              <w:rPr>
                <w:rFonts w:ascii="Calibri" w:hAnsi="Calibri"/>
                <w:b w:val="0"/>
                <w:color w:val="000000"/>
                <w:sz w:val="13"/>
              </w:rPr>
              <w:t>S4/L3</w:t>
            </w:r>
          </w:p>
        </w:tc>
        <w:tc>
          <w:tcPr>
            <w:tcW w:type="dxa" w:w="2410"/>
            <w:vAlign w:val="top"/>
            <w:tcMar>
              <w:top w:w="80" w:type="dxa"/>
              <w:bottom w:w="80" w:type="dxa"/>
              <w:start w:w="120" w:type="dxa"/>
              <w:end w:w="120" w:type="dxa"/>
            </w:tcMar>
          </w:tcPr>
          <w:p>
            <w:r>
              <w:rPr>
                <w:rFonts w:ascii="Calibri" w:hAnsi="Calibri"/>
                <w:b w:val="0"/>
                <w:color w:val="000000"/>
                <w:sz w:val="13"/>
              </w:rPr>
              <w:t>Preliminary status; context; response/dispute; professional validation; no automatic case action</w:t>
            </w:r>
          </w:p>
        </w:tc>
        <w:tc>
          <w:tcPr>
            <w:tcW w:type="dxa" w:w="1970"/>
            <w:vAlign w:val="top"/>
            <w:tcMar>
              <w:top w:w="80" w:type="dxa"/>
              <w:bottom w:w="80" w:type="dxa"/>
              <w:start w:w="120" w:type="dxa"/>
              <w:end w:w="120" w:type="dxa"/>
            </w:tcMar>
          </w:tcPr>
          <w:p>
            <w:r>
              <w:rPr>
                <w:rFonts w:ascii="Calibri" w:hAnsi="Calibri"/>
                <w:b w:val="0"/>
                <w:color w:val="000000"/>
                <w:sz w:val="13"/>
              </w:rPr>
              <w:t>Specificity/subgroup tests; user research; appeal audit</w:t>
            </w:r>
          </w:p>
        </w:tc>
        <w:tc>
          <w:tcPr>
            <w:tcW w:type="dxa" w:w="1240"/>
            <w:vAlign w:val="top"/>
            <w:tcMar>
              <w:top w:w="80" w:type="dxa"/>
              <w:bottom w:w="80" w:type="dxa"/>
              <w:start w:w="120" w:type="dxa"/>
              <w:end w:w="120" w:type="dxa"/>
            </w:tcMar>
          </w:tcPr>
          <w:p>
            <w:r>
              <w:rPr>
                <w:rFonts w:ascii="Calibri" w:hAnsi="Calibri"/>
                <w:b w:val="0"/>
                <w:color w:val="000000"/>
                <w:sz w:val="13"/>
              </w:rPr>
              <w:t>OPEN</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H06</w:t>
            </w:r>
          </w:p>
        </w:tc>
        <w:tc>
          <w:tcPr>
            <w:tcW w:type="dxa" w:w="1180"/>
            <w:vAlign w:val="top"/>
            <w:tcMar>
              <w:top w:w="80" w:type="dxa"/>
              <w:bottom w:w="80" w:type="dxa"/>
              <w:start w:w="120" w:type="dxa"/>
              <w:end w:w="120" w:type="dxa"/>
            </w:tcMar>
          </w:tcPr>
          <w:p>
            <w:r>
              <w:rPr>
                <w:rFonts w:ascii="Calibri" w:hAnsi="Calibri"/>
                <w:b w:val="0"/>
                <w:color w:val="000000"/>
                <w:sz w:val="13"/>
              </w:rPr>
              <w:t>Wrong instrument, version or scoring</w:t>
            </w:r>
          </w:p>
        </w:tc>
        <w:tc>
          <w:tcPr>
            <w:tcW w:type="dxa" w:w="1320"/>
            <w:vAlign w:val="top"/>
            <w:tcMar>
              <w:top w:w="80" w:type="dxa"/>
              <w:bottom w:w="80" w:type="dxa"/>
              <w:start w:w="120" w:type="dxa"/>
              <w:end w:w="120" w:type="dxa"/>
            </w:tcMar>
          </w:tcPr>
          <w:p>
            <w:r>
              <w:rPr>
                <w:rFonts w:ascii="Calibri" w:hAnsi="Calibri"/>
                <w:b w:val="0"/>
                <w:color w:val="000000"/>
                <w:sz w:val="13"/>
              </w:rPr>
              <w:t>Invalid clinical result</w:t>
            </w:r>
          </w:p>
        </w:tc>
        <w:tc>
          <w:tcPr>
            <w:tcW w:type="dxa" w:w="720"/>
            <w:vAlign w:val="top"/>
            <w:tcMar>
              <w:top w:w="80" w:type="dxa"/>
              <w:bottom w:w="80" w:type="dxa"/>
              <w:start w:w="120" w:type="dxa"/>
              <w:end w:w="120" w:type="dxa"/>
            </w:tcMar>
          </w:tcPr>
          <w:p>
            <w:r>
              <w:rPr>
                <w:rFonts w:ascii="Calibri" w:hAnsi="Calibri"/>
                <w:b w:val="0"/>
                <w:color w:val="000000"/>
                <w:sz w:val="13"/>
              </w:rPr>
              <w:t>S4/L3</w:t>
            </w:r>
          </w:p>
        </w:tc>
        <w:tc>
          <w:tcPr>
            <w:tcW w:type="dxa" w:w="2410"/>
            <w:vAlign w:val="top"/>
            <w:tcMar>
              <w:top w:w="80" w:type="dxa"/>
              <w:bottom w:w="80" w:type="dxa"/>
              <w:start w:w="120" w:type="dxa"/>
              <w:end w:w="120" w:type="dxa"/>
            </w:tcMar>
          </w:tcPr>
          <w:p>
            <w:r>
              <w:rPr>
                <w:rFonts w:ascii="Calibri" w:hAnsi="Calibri"/>
                <w:b w:val="0"/>
                <w:color w:val="000000"/>
                <w:sz w:val="13"/>
              </w:rPr>
              <w:t>Locked registry; licence/version gate; deterministic scorer; known-answer tests; expiry kill switch</w:t>
            </w:r>
          </w:p>
        </w:tc>
        <w:tc>
          <w:tcPr>
            <w:tcW w:type="dxa" w:w="1970"/>
            <w:vAlign w:val="top"/>
            <w:tcMar>
              <w:top w:w="80" w:type="dxa"/>
              <w:bottom w:w="80" w:type="dxa"/>
              <w:start w:w="120" w:type="dxa"/>
              <w:end w:w="120" w:type="dxa"/>
            </w:tcMar>
          </w:tcPr>
          <w:p>
            <w:r>
              <w:rPr>
                <w:rFonts w:ascii="Calibri" w:hAnsi="Calibri"/>
                <w:b w:val="0"/>
                <w:color w:val="000000"/>
                <w:sz w:val="13"/>
              </w:rPr>
              <w:t>100% scoring test vectors; version reconciliation</w:t>
            </w:r>
          </w:p>
        </w:tc>
        <w:tc>
          <w:tcPr>
            <w:tcW w:type="dxa" w:w="1240"/>
            <w:vAlign w:val="top"/>
            <w:tcMar>
              <w:top w:w="80" w:type="dxa"/>
              <w:bottom w:w="80" w:type="dxa"/>
              <w:start w:w="120" w:type="dxa"/>
              <w:end w:w="120" w:type="dxa"/>
            </w:tcMar>
          </w:tcPr>
          <w:p>
            <w:r>
              <w:rPr>
                <w:rFonts w:ascii="Calibri" w:hAnsi="Calibri"/>
                <w:b w:val="0"/>
                <w:color w:val="000000"/>
                <w:sz w:val="13"/>
              </w:rPr>
              <w:t>OPEN - BLOCKER</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H07</w:t>
            </w:r>
          </w:p>
        </w:tc>
        <w:tc>
          <w:tcPr>
            <w:tcW w:type="dxa" w:w="1180"/>
            <w:vAlign w:val="top"/>
            <w:tcMar>
              <w:top w:w="80" w:type="dxa"/>
              <w:bottom w:w="80" w:type="dxa"/>
              <w:start w:w="120" w:type="dxa"/>
              <w:end w:w="120" w:type="dxa"/>
            </w:tcMar>
          </w:tcPr>
          <w:p>
            <w:r>
              <w:rPr>
                <w:rFonts w:ascii="Calibri" w:hAnsi="Calibri"/>
                <w:b w:val="0"/>
                <w:color w:val="000000"/>
                <w:sz w:val="13"/>
              </w:rPr>
              <w:t>AI fabricates source, quote or conclusion</w:t>
            </w:r>
          </w:p>
        </w:tc>
        <w:tc>
          <w:tcPr>
            <w:tcW w:type="dxa" w:w="1320"/>
            <w:vAlign w:val="top"/>
            <w:tcMar>
              <w:top w:w="80" w:type="dxa"/>
              <w:bottom w:w="80" w:type="dxa"/>
              <w:start w:w="120" w:type="dxa"/>
              <w:end w:w="120" w:type="dxa"/>
            </w:tcMar>
          </w:tcPr>
          <w:p>
            <w:r>
              <w:rPr>
                <w:rFonts w:ascii="Calibri" w:hAnsi="Calibri"/>
                <w:b w:val="0"/>
                <w:color w:val="000000"/>
                <w:sz w:val="13"/>
              </w:rPr>
              <w:t>False allegation or clinical/legal harm</w:t>
            </w:r>
          </w:p>
        </w:tc>
        <w:tc>
          <w:tcPr>
            <w:tcW w:type="dxa" w:w="720"/>
            <w:vAlign w:val="top"/>
            <w:tcMar>
              <w:top w:w="80" w:type="dxa"/>
              <w:bottom w:w="80" w:type="dxa"/>
              <w:start w:w="120" w:type="dxa"/>
              <w:end w:w="120" w:type="dxa"/>
            </w:tcMar>
          </w:tcPr>
          <w:p>
            <w:r>
              <w:rPr>
                <w:rFonts w:ascii="Calibri" w:hAnsi="Calibri"/>
                <w:b w:val="0"/>
                <w:color w:val="000000"/>
                <w:sz w:val="13"/>
              </w:rPr>
              <w:t>S4/L4</w:t>
            </w:r>
          </w:p>
        </w:tc>
        <w:tc>
          <w:tcPr>
            <w:tcW w:type="dxa" w:w="2410"/>
            <w:vAlign w:val="top"/>
            <w:tcMar>
              <w:top w:w="80" w:type="dxa"/>
              <w:bottom w:w="80" w:type="dxa"/>
              <w:start w:w="120" w:type="dxa"/>
              <w:end w:w="120" w:type="dxa"/>
            </w:tcMar>
          </w:tcPr>
          <w:p>
            <w:r>
              <w:rPr>
                <w:rFonts w:ascii="Calibri" w:hAnsi="Calibri"/>
                <w:b w:val="0"/>
                <w:color w:val="000000"/>
                <w:sz w:val="13"/>
              </w:rPr>
              <w:t>Retrieval-only citations; source-open requirement; unverified label; human confirmation; no AI signature</w:t>
            </w:r>
          </w:p>
        </w:tc>
        <w:tc>
          <w:tcPr>
            <w:tcW w:type="dxa" w:w="1970"/>
            <w:vAlign w:val="top"/>
            <w:tcMar>
              <w:top w:w="80" w:type="dxa"/>
              <w:bottom w:w="80" w:type="dxa"/>
              <w:start w:w="120" w:type="dxa"/>
              <w:end w:w="120" w:type="dxa"/>
            </w:tcMar>
          </w:tcPr>
          <w:p>
            <w:r>
              <w:rPr>
                <w:rFonts w:ascii="Calibri" w:hAnsi="Calibri"/>
                <w:b w:val="0"/>
                <w:color w:val="000000"/>
                <w:sz w:val="13"/>
              </w:rPr>
              <w:t>Hallucination/adversarial dataset; unsupported-claim rate</w:t>
            </w:r>
          </w:p>
        </w:tc>
        <w:tc>
          <w:tcPr>
            <w:tcW w:type="dxa" w:w="1240"/>
            <w:vAlign w:val="top"/>
            <w:tcMar>
              <w:top w:w="80" w:type="dxa"/>
              <w:bottom w:w="80" w:type="dxa"/>
              <w:start w:w="120" w:type="dxa"/>
              <w:end w:w="120" w:type="dxa"/>
            </w:tcMar>
          </w:tcPr>
          <w:p>
            <w:r>
              <w:rPr>
                <w:rFonts w:ascii="Calibri" w:hAnsi="Calibri"/>
                <w:b w:val="0"/>
                <w:color w:val="000000"/>
                <w:sz w:val="13"/>
              </w:rPr>
              <w:t>OPEN - BLOCKER</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H08</w:t>
            </w:r>
          </w:p>
        </w:tc>
        <w:tc>
          <w:tcPr>
            <w:tcW w:type="dxa" w:w="1180"/>
            <w:vAlign w:val="top"/>
            <w:tcMar>
              <w:top w:w="80" w:type="dxa"/>
              <w:bottom w:w="80" w:type="dxa"/>
              <w:start w:w="120" w:type="dxa"/>
              <w:end w:w="120" w:type="dxa"/>
            </w:tcMar>
          </w:tcPr>
          <w:p>
            <w:r>
              <w:rPr>
                <w:rFonts w:ascii="Calibri" w:hAnsi="Calibri"/>
                <w:b w:val="0"/>
                <w:color w:val="000000"/>
                <w:sz w:val="13"/>
              </w:rPr>
              <w:t>Automation bias by professional/worker</w:t>
            </w:r>
          </w:p>
        </w:tc>
        <w:tc>
          <w:tcPr>
            <w:tcW w:type="dxa" w:w="1320"/>
            <w:vAlign w:val="top"/>
            <w:tcMar>
              <w:top w:w="80" w:type="dxa"/>
              <w:bottom w:w="80" w:type="dxa"/>
              <w:start w:w="120" w:type="dxa"/>
              <w:end w:w="120" w:type="dxa"/>
            </w:tcMar>
          </w:tcPr>
          <w:p>
            <w:r>
              <w:rPr>
                <w:rFonts w:ascii="Calibri" w:hAnsi="Calibri"/>
                <w:b w:val="0"/>
                <w:color w:val="000000"/>
                <w:sz w:val="13"/>
              </w:rPr>
              <w:t>Draft treated as fact</w:t>
            </w:r>
          </w:p>
        </w:tc>
        <w:tc>
          <w:tcPr>
            <w:tcW w:type="dxa" w:w="720"/>
            <w:vAlign w:val="top"/>
            <w:tcMar>
              <w:top w:w="80" w:type="dxa"/>
              <w:bottom w:w="80" w:type="dxa"/>
              <w:start w:w="120" w:type="dxa"/>
              <w:end w:w="120" w:type="dxa"/>
            </w:tcMar>
          </w:tcPr>
          <w:p>
            <w:r>
              <w:rPr>
                <w:rFonts w:ascii="Calibri" w:hAnsi="Calibri"/>
                <w:b w:val="0"/>
                <w:color w:val="000000"/>
                <w:sz w:val="13"/>
              </w:rPr>
              <w:t>S4/L4</w:t>
            </w:r>
          </w:p>
        </w:tc>
        <w:tc>
          <w:tcPr>
            <w:tcW w:type="dxa" w:w="2410"/>
            <w:vAlign w:val="top"/>
            <w:tcMar>
              <w:top w:w="80" w:type="dxa"/>
              <w:bottom w:w="80" w:type="dxa"/>
              <w:start w:w="120" w:type="dxa"/>
              <w:end w:w="120" w:type="dxa"/>
            </w:tcMar>
          </w:tcPr>
          <w:p>
            <w:r>
              <w:rPr>
                <w:rFonts w:ascii="Calibri" w:hAnsi="Calibri"/>
                <w:b w:val="0"/>
                <w:color w:val="000000"/>
                <w:sz w:val="13"/>
              </w:rPr>
              <w:t>Separate raw data; uncertainty; required independent disposition; training; second review for high impact</w:t>
            </w:r>
          </w:p>
        </w:tc>
        <w:tc>
          <w:tcPr>
            <w:tcW w:type="dxa" w:w="1970"/>
            <w:vAlign w:val="top"/>
            <w:tcMar>
              <w:top w:w="80" w:type="dxa"/>
              <w:bottom w:w="80" w:type="dxa"/>
              <w:start w:w="120" w:type="dxa"/>
              <w:end w:w="120" w:type="dxa"/>
            </w:tcMar>
          </w:tcPr>
          <w:p>
            <w:r>
              <w:rPr>
                <w:rFonts w:ascii="Calibri" w:hAnsi="Calibri"/>
                <w:b w:val="0"/>
                <w:color w:val="000000"/>
                <w:sz w:val="13"/>
              </w:rPr>
              <w:t>Usability study; override/confirmation-bias measures</w:t>
            </w:r>
          </w:p>
        </w:tc>
        <w:tc>
          <w:tcPr>
            <w:tcW w:type="dxa" w:w="1240"/>
            <w:vAlign w:val="top"/>
            <w:tcMar>
              <w:top w:w="80" w:type="dxa"/>
              <w:bottom w:w="80" w:type="dxa"/>
              <w:start w:w="120" w:type="dxa"/>
              <w:end w:w="120" w:type="dxa"/>
            </w:tcMar>
          </w:tcPr>
          <w:p>
            <w:r>
              <w:rPr>
                <w:rFonts w:ascii="Calibri" w:hAnsi="Calibri"/>
                <w:b w:val="0"/>
                <w:color w:val="000000"/>
                <w:sz w:val="13"/>
              </w:rPr>
              <w:t>OPEN</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H09</w:t>
            </w:r>
          </w:p>
        </w:tc>
        <w:tc>
          <w:tcPr>
            <w:tcW w:type="dxa" w:w="1180"/>
            <w:vAlign w:val="top"/>
            <w:tcMar>
              <w:top w:w="80" w:type="dxa"/>
              <w:bottom w:w="80" w:type="dxa"/>
              <w:start w:w="120" w:type="dxa"/>
              <w:end w:w="120" w:type="dxa"/>
            </w:tcMar>
          </w:tcPr>
          <w:p>
            <w:r>
              <w:rPr>
                <w:rFonts w:ascii="Calibri" w:hAnsi="Calibri"/>
                <w:b w:val="0"/>
                <w:color w:val="000000"/>
                <w:sz w:val="13"/>
              </w:rPr>
              <w:t>Parent-child messaging misclassified</w:t>
            </w:r>
          </w:p>
        </w:tc>
        <w:tc>
          <w:tcPr>
            <w:tcW w:type="dxa" w:w="1320"/>
            <w:vAlign w:val="top"/>
            <w:tcMar>
              <w:top w:w="80" w:type="dxa"/>
              <w:bottom w:w="80" w:type="dxa"/>
              <w:start w:w="120" w:type="dxa"/>
              <w:end w:w="120" w:type="dxa"/>
            </w:tcMar>
          </w:tcPr>
          <w:p>
            <w:r>
              <w:rPr>
                <w:rFonts w:ascii="Calibri" w:hAnsi="Calibri"/>
                <w:b w:val="0"/>
                <w:color w:val="000000"/>
                <w:sz w:val="13"/>
              </w:rPr>
              <w:t>Unfair attachment/parenting inference</w:t>
            </w:r>
          </w:p>
        </w:tc>
        <w:tc>
          <w:tcPr>
            <w:tcW w:type="dxa" w:w="720"/>
            <w:vAlign w:val="top"/>
            <w:tcMar>
              <w:top w:w="80" w:type="dxa"/>
              <w:bottom w:w="80" w:type="dxa"/>
              <w:start w:w="120" w:type="dxa"/>
              <w:end w:w="120" w:type="dxa"/>
            </w:tcMar>
          </w:tcPr>
          <w:p>
            <w:r>
              <w:rPr>
                <w:rFonts w:ascii="Calibri" w:hAnsi="Calibri"/>
                <w:b w:val="0"/>
                <w:color w:val="000000"/>
                <w:sz w:val="13"/>
              </w:rPr>
              <w:t>S4/L3</w:t>
            </w:r>
          </w:p>
        </w:tc>
        <w:tc>
          <w:tcPr>
            <w:tcW w:type="dxa" w:w="2410"/>
            <w:vAlign w:val="top"/>
            <w:tcMar>
              <w:top w:w="80" w:type="dxa"/>
              <w:bottom w:w="80" w:type="dxa"/>
              <w:start w:w="120" w:type="dxa"/>
              <w:end w:w="120" w:type="dxa"/>
            </w:tcMar>
          </w:tcPr>
          <w:p>
            <w:r>
              <w:rPr>
                <w:rFonts w:ascii="Calibri" w:hAnsi="Calibri"/>
                <w:b w:val="0"/>
                <w:color w:val="000000"/>
                <w:sz w:val="13"/>
              </w:rPr>
              <w:t>No diagnosis from messages; transparent purpose; consent; contextual human review; contestability</w:t>
            </w:r>
          </w:p>
        </w:tc>
        <w:tc>
          <w:tcPr>
            <w:tcW w:type="dxa" w:w="1970"/>
            <w:vAlign w:val="top"/>
            <w:tcMar>
              <w:top w:w="80" w:type="dxa"/>
              <w:bottom w:w="80" w:type="dxa"/>
              <w:start w:w="120" w:type="dxa"/>
              <w:end w:w="120" w:type="dxa"/>
            </w:tcMar>
          </w:tcPr>
          <w:p>
            <w:r>
              <w:rPr>
                <w:rFonts w:ascii="Calibri" w:hAnsi="Calibri"/>
                <w:b w:val="0"/>
                <w:color w:val="000000"/>
                <w:sz w:val="13"/>
              </w:rPr>
              <w:t>Bias and construct-validity review; prohibited-output tests</w:t>
            </w:r>
          </w:p>
        </w:tc>
        <w:tc>
          <w:tcPr>
            <w:tcW w:type="dxa" w:w="1240"/>
            <w:vAlign w:val="top"/>
            <w:tcMar>
              <w:top w:w="80" w:type="dxa"/>
              <w:bottom w:w="80" w:type="dxa"/>
              <w:start w:w="120" w:type="dxa"/>
              <w:end w:w="120" w:type="dxa"/>
            </w:tcMar>
          </w:tcPr>
          <w:p>
            <w:r>
              <w:rPr>
                <w:rFonts w:ascii="Calibri" w:hAnsi="Calibri"/>
                <w:b w:val="0"/>
                <w:color w:val="000000"/>
                <w:sz w:val="13"/>
              </w:rPr>
              <w:t>OPEN - BLOCKER</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H10</w:t>
            </w:r>
          </w:p>
        </w:tc>
        <w:tc>
          <w:tcPr>
            <w:tcW w:type="dxa" w:w="1180"/>
            <w:vAlign w:val="top"/>
            <w:tcMar>
              <w:top w:w="80" w:type="dxa"/>
              <w:bottom w:w="80" w:type="dxa"/>
              <w:start w:w="120" w:type="dxa"/>
              <w:end w:w="120" w:type="dxa"/>
            </w:tcMar>
          </w:tcPr>
          <w:p>
            <w:r>
              <w:rPr>
                <w:rFonts w:ascii="Calibri" w:hAnsi="Calibri"/>
                <w:b w:val="0"/>
                <w:color w:val="000000"/>
                <w:sz w:val="13"/>
              </w:rPr>
              <w:t>Private child entry disclosed improperly</w:t>
            </w:r>
          </w:p>
        </w:tc>
        <w:tc>
          <w:tcPr>
            <w:tcW w:type="dxa" w:w="1320"/>
            <w:vAlign w:val="top"/>
            <w:tcMar>
              <w:top w:w="80" w:type="dxa"/>
              <w:bottom w:w="80" w:type="dxa"/>
              <w:start w:w="120" w:type="dxa"/>
              <w:end w:w="120" w:type="dxa"/>
            </w:tcMar>
          </w:tcPr>
          <w:p>
            <w:r>
              <w:rPr>
                <w:rFonts w:ascii="Calibri" w:hAnsi="Calibri"/>
                <w:b w:val="0"/>
                <w:color w:val="000000"/>
                <w:sz w:val="13"/>
              </w:rPr>
              <w:t>Loss of trust; retaliation; safety harm</w:t>
            </w:r>
          </w:p>
        </w:tc>
        <w:tc>
          <w:tcPr>
            <w:tcW w:type="dxa" w:w="720"/>
            <w:vAlign w:val="top"/>
            <w:tcMar>
              <w:top w:w="80" w:type="dxa"/>
              <w:bottom w:w="80" w:type="dxa"/>
              <w:start w:w="120" w:type="dxa"/>
              <w:end w:w="120" w:type="dxa"/>
            </w:tcMar>
          </w:tcPr>
          <w:p>
            <w:r>
              <w:rPr>
                <w:rFonts w:ascii="Calibri" w:hAnsi="Calibri"/>
                <w:b w:val="0"/>
                <w:color w:val="000000"/>
                <w:sz w:val="13"/>
              </w:rPr>
              <w:t>S5/L3</w:t>
            </w:r>
          </w:p>
        </w:tc>
        <w:tc>
          <w:tcPr>
            <w:tcW w:type="dxa" w:w="2410"/>
            <w:vAlign w:val="top"/>
            <w:tcMar>
              <w:top w:w="80" w:type="dxa"/>
              <w:bottom w:w="80" w:type="dxa"/>
              <w:start w:w="120" w:type="dxa"/>
              <w:end w:w="120" w:type="dxa"/>
            </w:tcMar>
          </w:tcPr>
          <w:p>
            <w:r>
              <w:rPr>
                <w:rFonts w:ascii="Calibri" w:hAnsi="Calibri"/>
                <w:b w:val="0"/>
                <w:color w:val="000000"/>
                <w:sz w:val="13"/>
              </w:rPr>
              <w:t>Child-controlled ordinary sharing; verified emergency/legal gate; minimum necessary; child notification where safe; review log</w:t>
            </w:r>
          </w:p>
        </w:tc>
        <w:tc>
          <w:tcPr>
            <w:tcW w:type="dxa" w:w="1970"/>
            <w:vAlign w:val="top"/>
            <w:tcMar>
              <w:top w:w="80" w:type="dxa"/>
              <w:bottom w:w="80" w:type="dxa"/>
              <w:start w:w="120" w:type="dxa"/>
              <w:end w:w="120" w:type="dxa"/>
            </w:tcMar>
          </w:tcPr>
          <w:p>
            <w:r>
              <w:rPr>
                <w:rFonts w:ascii="Calibri" w:hAnsi="Calibri"/>
                <w:b w:val="0"/>
                <w:color w:val="000000"/>
                <w:sz w:val="13"/>
              </w:rPr>
              <w:t>Access tests; disclosure tabletop; child UX testing</w:t>
            </w:r>
          </w:p>
        </w:tc>
        <w:tc>
          <w:tcPr>
            <w:tcW w:type="dxa" w:w="1240"/>
            <w:vAlign w:val="top"/>
            <w:tcMar>
              <w:top w:w="80" w:type="dxa"/>
              <w:bottom w:w="80" w:type="dxa"/>
              <w:start w:w="120" w:type="dxa"/>
              <w:end w:w="120" w:type="dxa"/>
            </w:tcMar>
          </w:tcPr>
          <w:p>
            <w:r>
              <w:rPr>
                <w:rFonts w:ascii="Calibri" w:hAnsi="Calibri"/>
                <w:b w:val="0"/>
                <w:color w:val="000000"/>
                <w:sz w:val="13"/>
              </w:rPr>
              <w:t>OPEN - BLOCKER</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H11</w:t>
            </w:r>
          </w:p>
        </w:tc>
        <w:tc>
          <w:tcPr>
            <w:tcW w:type="dxa" w:w="1180"/>
            <w:vAlign w:val="top"/>
            <w:tcMar>
              <w:top w:w="80" w:type="dxa"/>
              <w:bottom w:w="80" w:type="dxa"/>
              <w:start w:w="120" w:type="dxa"/>
              <w:end w:w="120" w:type="dxa"/>
            </w:tcMar>
          </w:tcPr>
          <w:p>
            <w:r>
              <w:rPr>
                <w:rFonts w:ascii="Calibri" w:hAnsi="Calibri"/>
                <w:b w:val="0"/>
                <w:color w:val="000000"/>
                <w:sz w:val="13"/>
              </w:rPr>
              <w:t>Carer observation presented as fact</w:t>
            </w:r>
          </w:p>
        </w:tc>
        <w:tc>
          <w:tcPr>
            <w:tcW w:type="dxa" w:w="1320"/>
            <w:vAlign w:val="top"/>
            <w:tcMar>
              <w:top w:w="80" w:type="dxa"/>
              <w:bottom w:w="80" w:type="dxa"/>
              <w:start w:w="120" w:type="dxa"/>
              <w:end w:w="120" w:type="dxa"/>
            </w:tcMar>
          </w:tcPr>
          <w:p>
            <w:r>
              <w:rPr>
                <w:rFonts w:ascii="Calibri" w:hAnsi="Calibri"/>
                <w:b w:val="0"/>
                <w:color w:val="000000"/>
                <w:sz w:val="13"/>
              </w:rPr>
              <w:t>Unfair parent/case impact</w:t>
            </w:r>
          </w:p>
        </w:tc>
        <w:tc>
          <w:tcPr>
            <w:tcW w:type="dxa" w:w="720"/>
            <w:vAlign w:val="top"/>
            <w:tcMar>
              <w:top w:w="80" w:type="dxa"/>
              <w:bottom w:w="80" w:type="dxa"/>
              <w:start w:w="120" w:type="dxa"/>
              <w:end w:w="120" w:type="dxa"/>
            </w:tcMar>
          </w:tcPr>
          <w:p>
            <w:r>
              <w:rPr>
                <w:rFonts w:ascii="Calibri" w:hAnsi="Calibri"/>
                <w:b w:val="0"/>
                <w:color w:val="000000"/>
                <w:sz w:val="13"/>
              </w:rPr>
              <w:t>S4/L3</w:t>
            </w:r>
          </w:p>
        </w:tc>
        <w:tc>
          <w:tcPr>
            <w:tcW w:type="dxa" w:w="2410"/>
            <w:vAlign w:val="top"/>
            <w:tcMar>
              <w:top w:w="80" w:type="dxa"/>
              <w:bottom w:w="80" w:type="dxa"/>
              <w:start w:w="120" w:type="dxa"/>
              <w:end w:w="120" w:type="dxa"/>
            </w:tcMar>
          </w:tcPr>
          <w:p>
            <w:r>
              <w:rPr>
                <w:rFonts w:ascii="Calibri" w:hAnsi="Calibri"/>
                <w:b w:val="0"/>
                <w:color w:val="000000"/>
                <w:sz w:val="13"/>
              </w:rPr>
              <w:t>Observation/opinion/fact labels; exact words separate; source/date; parent response; conflicting evidence shown</w:t>
            </w:r>
          </w:p>
        </w:tc>
        <w:tc>
          <w:tcPr>
            <w:tcW w:type="dxa" w:w="1970"/>
            <w:vAlign w:val="top"/>
            <w:tcMar>
              <w:top w:w="80" w:type="dxa"/>
              <w:bottom w:w="80" w:type="dxa"/>
              <w:start w:w="120" w:type="dxa"/>
              <w:end w:w="120" w:type="dxa"/>
            </w:tcMar>
          </w:tcPr>
          <w:p>
            <w:r>
              <w:rPr>
                <w:rFonts w:ascii="Calibri" w:hAnsi="Calibri"/>
                <w:b w:val="0"/>
                <w:color w:val="000000"/>
                <w:sz w:val="13"/>
              </w:rPr>
              <w:t>Report rendering tests; dispute workflow audit</w:t>
            </w:r>
          </w:p>
        </w:tc>
        <w:tc>
          <w:tcPr>
            <w:tcW w:type="dxa" w:w="1240"/>
            <w:vAlign w:val="top"/>
            <w:tcMar>
              <w:top w:w="80" w:type="dxa"/>
              <w:bottom w:w="80" w:type="dxa"/>
              <w:start w:w="120" w:type="dxa"/>
              <w:end w:w="120" w:type="dxa"/>
            </w:tcMar>
          </w:tcPr>
          <w:p>
            <w:r>
              <w:rPr>
                <w:rFonts w:ascii="Calibri" w:hAnsi="Calibri"/>
                <w:b w:val="0"/>
                <w:color w:val="000000"/>
                <w:sz w:val="13"/>
              </w:rPr>
              <w:t>OPEN</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H12</w:t>
            </w:r>
          </w:p>
        </w:tc>
        <w:tc>
          <w:tcPr>
            <w:tcW w:type="dxa" w:w="1180"/>
            <w:vAlign w:val="top"/>
            <w:tcMar>
              <w:top w:w="80" w:type="dxa"/>
              <w:bottom w:w="80" w:type="dxa"/>
              <w:start w:w="120" w:type="dxa"/>
              <w:end w:w="120" w:type="dxa"/>
            </w:tcMar>
          </w:tcPr>
          <w:p>
            <w:r>
              <w:rPr>
                <w:rFonts w:ascii="Calibri" w:hAnsi="Calibri"/>
                <w:b w:val="0"/>
                <w:color w:val="000000"/>
                <w:sz w:val="13"/>
              </w:rPr>
              <w:t>Evidence vault altered, misattributed or unavailable</w:t>
            </w:r>
          </w:p>
        </w:tc>
        <w:tc>
          <w:tcPr>
            <w:tcW w:type="dxa" w:w="1320"/>
            <w:vAlign w:val="top"/>
            <w:tcMar>
              <w:top w:w="80" w:type="dxa"/>
              <w:bottom w:w="80" w:type="dxa"/>
              <w:start w:w="120" w:type="dxa"/>
              <w:end w:w="120" w:type="dxa"/>
            </w:tcMar>
          </w:tcPr>
          <w:p>
            <w:r>
              <w:rPr>
                <w:rFonts w:ascii="Calibri" w:hAnsi="Calibri"/>
                <w:b w:val="0"/>
                <w:color w:val="000000"/>
                <w:sz w:val="13"/>
              </w:rPr>
              <w:t>Evidence loss; false provenance; legal harm</w:t>
            </w:r>
          </w:p>
        </w:tc>
        <w:tc>
          <w:tcPr>
            <w:tcW w:type="dxa" w:w="720"/>
            <w:vAlign w:val="top"/>
            <w:tcMar>
              <w:top w:w="80" w:type="dxa"/>
              <w:bottom w:w="80" w:type="dxa"/>
              <w:start w:w="120" w:type="dxa"/>
              <w:end w:w="120" w:type="dxa"/>
            </w:tcMar>
          </w:tcPr>
          <w:p>
            <w:r>
              <w:rPr>
                <w:rFonts w:ascii="Calibri" w:hAnsi="Calibri"/>
                <w:b w:val="0"/>
                <w:color w:val="000000"/>
                <w:sz w:val="13"/>
              </w:rPr>
              <w:t>S4/L3</w:t>
            </w:r>
          </w:p>
        </w:tc>
        <w:tc>
          <w:tcPr>
            <w:tcW w:type="dxa" w:w="2410"/>
            <w:vAlign w:val="top"/>
            <w:tcMar>
              <w:top w:w="80" w:type="dxa"/>
              <w:bottom w:w="80" w:type="dxa"/>
              <w:start w:w="120" w:type="dxa"/>
              <w:end w:w="120" w:type="dxa"/>
            </w:tcMar>
          </w:tcPr>
          <w:p>
            <w:r>
              <w:rPr>
                <w:rFonts w:ascii="Calibri" w:hAnsi="Calibri"/>
                <w:b w:val="0"/>
                <w:color w:val="000000"/>
                <w:sz w:val="13"/>
              </w:rPr>
              <w:t>Append-only versions; hashes/signatures; trusted time; capture provenance; access log; redundancy; export verification</w:t>
            </w:r>
          </w:p>
        </w:tc>
        <w:tc>
          <w:tcPr>
            <w:tcW w:type="dxa" w:w="1970"/>
            <w:vAlign w:val="top"/>
            <w:tcMar>
              <w:top w:w="80" w:type="dxa"/>
              <w:bottom w:w="80" w:type="dxa"/>
              <w:start w:w="120" w:type="dxa"/>
              <w:end w:w="120" w:type="dxa"/>
            </w:tcMar>
          </w:tcPr>
          <w:p>
            <w:r>
              <w:rPr>
                <w:rFonts w:ascii="Calibri" w:hAnsi="Calibri"/>
                <w:b w:val="0"/>
                <w:color w:val="000000"/>
                <w:sz w:val="13"/>
              </w:rPr>
              <w:t>Tamper tests; restore drill; chain-of-custody review</w:t>
            </w:r>
          </w:p>
        </w:tc>
        <w:tc>
          <w:tcPr>
            <w:tcW w:type="dxa" w:w="1240"/>
            <w:vAlign w:val="top"/>
            <w:tcMar>
              <w:top w:w="80" w:type="dxa"/>
              <w:bottom w:w="80" w:type="dxa"/>
              <w:start w:w="120" w:type="dxa"/>
              <w:end w:w="120" w:type="dxa"/>
            </w:tcMar>
          </w:tcPr>
          <w:p>
            <w:r>
              <w:rPr>
                <w:rFonts w:ascii="Calibri" w:hAnsi="Calibri"/>
                <w:b w:val="0"/>
                <w:color w:val="000000"/>
                <w:sz w:val="13"/>
              </w:rPr>
              <w:t>OPEN</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H13</w:t>
            </w:r>
          </w:p>
        </w:tc>
        <w:tc>
          <w:tcPr>
            <w:tcW w:type="dxa" w:w="1180"/>
            <w:vAlign w:val="top"/>
            <w:tcMar>
              <w:top w:w="80" w:type="dxa"/>
              <w:bottom w:w="80" w:type="dxa"/>
              <w:start w:w="120" w:type="dxa"/>
              <w:end w:w="120" w:type="dxa"/>
            </w:tcMar>
          </w:tcPr>
          <w:p>
            <w:r>
              <w:rPr>
                <w:rFonts w:ascii="Calibri" w:hAnsi="Calibri"/>
                <w:b w:val="0"/>
                <w:color w:val="000000"/>
                <w:sz w:val="13"/>
              </w:rPr>
              <w:t>Offline data loss or unsafe stale output</w:t>
            </w:r>
          </w:p>
        </w:tc>
        <w:tc>
          <w:tcPr>
            <w:tcW w:type="dxa" w:w="1320"/>
            <w:vAlign w:val="top"/>
            <w:tcMar>
              <w:top w:w="80" w:type="dxa"/>
              <w:bottom w:w="80" w:type="dxa"/>
              <w:start w:w="120" w:type="dxa"/>
              <w:end w:w="120" w:type="dxa"/>
            </w:tcMar>
          </w:tcPr>
          <w:p>
            <w:r>
              <w:rPr>
                <w:rFonts w:ascii="Calibri" w:hAnsi="Calibri"/>
                <w:b w:val="0"/>
                <w:color w:val="000000"/>
                <w:sz w:val="13"/>
              </w:rPr>
              <w:t>Lost progress; wrong deadline/clinical result</w:t>
            </w:r>
          </w:p>
        </w:tc>
        <w:tc>
          <w:tcPr>
            <w:tcW w:type="dxa" w:w="720"/>
            <w:vAlign w:val="top"/>
            <w:tcMar>
              <w:top w:w="80" w:type="dxa"/>
              <w:bottom w:w="80" w:type="dxa"/>
              <w:start w:w="120" w:type="dxa"/>
              <w:end w:w="120" w:type="dxa"/>
            </w:tcMar>
          </w:tcPr>
          <w:p>
            <w:r>
              <w:rPr>
                <w:rFonts w:ascii="Calibri" w:hAnsi="Calibri"/>
                <w:b w:val="0"/>
                <w:color w:val="000000"/>
                <w:sz w:val="13"/>
              </w:rPr>
              <w:t>S3/L4</w:t>
            </w:r>
          </w:p>
        </w:tc>
        <w:tc>
          <w:tcPr>
            <w:tcW w:type="dxa" w:w="2410"/>
            <w:vAlign w:val="top"/>
            <w:tcMar>
              <w:top w:w="80" w:type="dxa"/>
              <w:bottom w:w="80" w:type="dxa"/>
              <w:start w:w="120" w:type="dxa"/>
              <w:end w:w="120" w:type="dxa"/>
            </w:tcMar>
          </w:tcPr>
          <w:p>
            <w:r>
              <w:rPr>
                <w:rFonts w:ascii="Calibri" w:hAnsi="Calibri"/>
                <w:b w:val="0"/>
                <w:color w:val="000000"/>
                <w:sz w:val="13"/>
              </w:rPr>
              <w:t>Encrypted queue; conflict handling; stale/expiry indicators; idempotent sync; local recovery; critical-action confirmation</w:t>
            </w:r>
          </w:p>
        </w:tc>
        <w:tc>
          <w:tcPr>
            <w:tcW w:type="dxa" w:w="1970"/>
            <w:vAlign w:val="top"/>
            <w:tcMar>
              <w:top w:w="80" w:type="dxa"/>
              <w:bottom w:w="80" w:type="dxa"/>
              <w:start w:w="120" w:type="dxa"/>
              <w:end w:w="120" w:type="dxa"/>
            </w:tcMar>
          </w:tcPr>
          <w:p>
            <w:r>
              <w:rPr>
                <w:rFonts w:ascii="Calibri" w:hAnsi="Calibri"/>
                <w:b w:val="0"/>
                <w:color w:val="000000"/>
                <w:sz w:val="13"/>
              </w:rPr>
              <w:t>Flight-mode, clock-change, duplicate and conflict tests</w:t>
            </w:r>
          </w:p>
        </w:tc>
        <w:tc>
          <w:tcPr>
            <w:tcW w:type="dxa" w:w="1240"/>
            <w:vAlign w:val="top"/>
            <w:tcMar>
              <w:top w:w="80" w:type="dxa"/>
              <w:bottom w:w="80" w:type="dxa"/>
              <w:start w:w="120" w:type="dxa"/>
              <w:end w:w="120" w:type="dxa"/>
            </w:tcMar>
          </w:tcPr>
          <w:p>
            <w:r>
              <w:rPr>
                <w:rFonts w:ascii="Calibri" w:hAnsi="Calibri"/>
                <w:b w:val="0"/>
                <w:color w:val="000000"/>
                <w:sz w:val="13"/>
              </w:rPr>
              <w:t>OPEN</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H14</w:t>
            </w:r>
          </w:p>
        </w:tc>
        <w:tc>
          <w:tcPr>
            <w:tcW w:type="dxa" w:w="1180"/>
            <w:vAlign w:val="top"/>
            <w:tcMar>
              <w:top w:w="80" w:type="dxa"/>
              <w:bottom w:w="80" w:type="dxa"/>
              <w:start w:w="120" w:type="dxa"/>
              <w:end w:w="120" w:type="dxa"/>
            </w:tcMar>
          </w:tcPr>
          <w:p>
            <w:r>
              <w:rPr>
                <w:rFonts w:ascii="Calibri" w:hAnsi="Calibri"/>
                <w:b w:val="0"/>
                <w:color w:val="000000"/>
                <w:sz w:val="13"/>
              </w:rPr>
              <w:t>Account takeover or role overreach</w:t>
            </w:r>
          </w:p>
        </w:tc>
        <w:tc>
          <w:tcPr>
            <w:tcW w:type="dxa" w:w="1320"/>
            <w:vAlign w:val="top"/>
            <w:tcMar>
              <w:top w:w="80" w:type="dxa"/>
              <w:bottom w:w="80" w:type="dxa"/>
              <w:start w:w="120" w:type="dxa"/>
              <w:end w:w="120" w:type="dxa"/>
            </w:tcMar>
          </w:tcPr>
          <w:p>
            <w:r>
              <w:rPr>
                <w:rFonts w:ascii="Calibri" w:hAnsi="Calibri"/>
                <w:b w:val="0"/>
                <w:color w:val="000000"/>
                <w:sz w:val="13"/>
              </w:rPr>
              <w:t>Sensitive child/health/legal exposure</w:t>
            </w:r>
          </w:p>
        </w:tc>
        <w:tc>
          <w:tcPr>
            <w:tcW w:type="dxa" w:w="720"/>
            <w:vAlign w:val="top"/>
            <w:tcMar>
              <w:top w:w="80" w:type="dxa"/>
              <w:bottom w:w="80" w:type="dxa"/>
              <w:start w:w="120" w:type="dxa"/>
              <w:end w:w="120" w:type="dxa"/>
            </w:tcMar>
          </w:tcPr>
          <w:p>
            <w:r>
              <w:rPr>
                <w:rFonts w:ascii="Calibri" w:hAnsi="Calibri"/>
                <w:b w:val="0"/>
                <w:color w:val="000000"/>
                <w:sz w:val="13"/>
              </w:rPr>
              <w:t>S5/L3</w:t>
            </w:r>
          </w:p>
        </w:tc>
        <w:tc>
          <w:tcPr>
            <w:tcW w:type="dxa" w:w="2410"/>
            <w:vAlign w:val="top"/>
            <w:tcMar>
              <w:top w:w="80" w:type="dxa"/>
              <w:bottom w:w="80" w:type="dxa"/>
              <w:start w:w="120" w:type="dxa"/>
              <w:end w:w="120" w:type="dxa"/>
            </w:tcMar>
          </w:tcPr>
          <w:p>
            <w:r>
              <w:rPr>
                <w:rFonts w:ascii="Calibri" w:hAnsi="Calibri"/>
                <w:b w:val="0"/>
                <w:color w:val="000000"/>
                <w:sz w:val="13"/>
              </w:rPr>
              <w:t>Strong authentication; least privilege; relationship/purpose gates; expiry; anomaly alerts; session revocation</w:t>
            </w:r>
          </w:p>
        </w:tc>
        <w:tc>
          <w:tcPr>
            <w:tcW w:type="dxa" w:w="1970"/>
            <w:vAlign w:val="top"/>
            <w:tcMar>
              <w:top w:w="80" w:type="dxa"/>
              <w:bottom w:w="80" w:type="dxa"/>
              <w:start w:w="120" w:type="dxa"/>
              <w:end w:w="120" w:type="dxa"/>
            </w:tcMar>
          </w:tcPr>
          <w:p>
            <w:r>
              <w:rPr>
                <w:rFonts w:ascii="Calibri" w:hAnsi="Calibri"/>
                <w:b w:val="0"/>
                <w:color w:val="000000"/>
                <w:sz w:val="13"/>
              </w:rPr>
              <w:t>Pen test; permission matrix; terminated-role tests</w:t>
            </w:r>
          </w:p>
        </w:tc>
        <w:tc>
          <w:tcPr>
            <w:tcW w:type="dxa" w:w="1240"/>
            <w:vAlign w:val="top"/>
            <w:tcMar>
              <w:top w:w="80" w:type="dxa"/>
              <w:bottom w:w="80" w:type="dxa"/>
              <w:start w:w="120" w:type="dxa"/>
              <w:end w:w="120" w:type="dxa"/>
            </w:tcMar>
          </w:tcPr>
          <w:p>
            <w:r>
              <w:rPr>
                <w:rFonts w:ascii="Calibri" w:hAnsi="Calibri"/>
                <w:b w:val="0"/>
                <w:color w:val="000000"/>
                <w:sz w:val="13"/>
              </w:rPr>
              <w:t>OPEN - BLOCKER</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H15</w:t>
            </w:r>
          </w:p>
        </w:tc>
        <w:tc>
          <w:tcPr>
            <w:tcW w:type="dxa" w:w="1180"/>
            <w:vAlign w:val="top"/>
            <w:tcMar>
              <w:top w:w="80" w:type="dxa"/>
              <w:bottom w:w="80" w:type="dxa"/>
              <w:start w:w="120" w:type="dxa"/>
              <w:end w:w="120" w:type="dxa"/>
            </w:tcMar>
          </w:tcPr>
          <w:p>
            <w:r>
              <w:rPr>
                <w:rFonts w:ascii="Calibri" w:hAnsi="Calibri"/>
                <w:b w:val="0"/>
                <w:color w:val="000000"/>
                <w:sz w:val="13"/>
              </w:rPr>
              <w:t>Downloaded/shared report persists after access ends</w:t>
            </w:r>
          </w:p>
        </w:tc>
        <w:tc>
          <w:tcPr>
            <w:tcW w:type="dxa" w:w="1320"/>
            <w:vAlign w:val="top"/>
            <w:tcMar>
              <w:top w:w="80" w:type="dxa"/>
              <w:bottom w:w="80" w:type="dxa"/>
              <w:start w:w="120" w:type="dxa"/>
              <w:end w:w="120" w:type="dxa"/>
            </w:tcMar>
          </w:tcPr>
          <w:p>
            <w:r>
              <w:rPr>
                <w:rFonts w:ascii="Calibri" w:hAnsi="Calibri"/>
                <w:b w:val="0"/>
                <w:color w:val="000000"/>
                <w:sz w:val="13"/>
              </w:rPr>
              <w:t>Continuing unauthorised disclosure</w:t>
            </w:r>
          </w:p>
        </w:tc>
        <w:tc>
          <w:tcPr>
            <w:tcW w:type="dxa" w:w="720"/>
            <w:vAlign w:val="top"/>
            <w:tcMar>
              <w:top w:w="80" w:type="dxa"/>
              <w:bottom w:w="80" w:type="dxa"/>
              <w:start w:w="120" w:type="dxa"/>
              <w:end w:w="120" w:type="dxa"/>
            </w:tcMar>
          </w:tcPr>
          <w:p>
            <w:r>
              <w:rPr>
                <w:rFonts w:ascii="Calibri" w:hAnsi="Calibri"/>
                <w:b w:val="0"/>
                <w:color w:val="000000"/>
                <w:sz w:val="13"/>
              </w:rPr>
              <w:t>S4/L4</w:t>
            </w:r>
          </w:p>
        </w:tc>
        <w:tc>
          <w:tcPr>
            <w:tcW w:type="dxa" w:w="2410"/>
            <w:vAlign w:val="top"/>
            <w:tcMar>
              <w:top w:w="80" w:type="dxa"/>
              <w:bottom w:w="80" w:type="dxa"/>
              <w:start w:w="120" w:type="dxa"/>
              <w:end w:w="120" w:type="dxa"/>
            </w:tcMar>
          </w:tcPr>
          <w:p>
            <w:r>
              <w:rPr>
                <w:rFonts w:ascii="Calibri" w:hAnsi="Calibri"/>
                <w:b w:val="0"/>
                <w:color w:val="000000"/>
                <w:sz w:val="13"/>
              </w:rPr>
              <w:t>Watermark; minimum content; download log; expiry for links; user warning; contractual controls; notification</w:t>
            </w:r>
          </w:p>
        </w:tc>
        <w:tc>
          <w:tcPr>
            <w:tcW w:type="dxa" w:w="1970"/>
            <w:vAlign w:val="top"/>
            <w:tcMar>
              <w:top w:w="80" w:type="dxa"/>
              <w:bottom w:w="80" w:type="dxa"/>
              <w:start w:w="120" w:type="dxa"/>
              <w:end w:w="120" w:type="dxa"/>
            </w:tcMar>
          </w:tcPr>
          <w:p>
            <w:r>
              <w:rPr>
                <w:rFonts w:ascii="Calibri" w:hAnsi="Calibri"/>
                <w:b w:val="0"/>
                <w:color w:val="000000"/>
                <w:sz w:val="13"/>
              </w:rPr>
              <w:t>Share/revoke tests; recipient and export audit</w:t>
            </w:r>
          </w:p>
        </w:tc>
        <w:tc>
          <w:tcPr>
            <w:tcW w:type="dxa" w:w="1240"/>
            <w:vAlign w:val="top"/>
            <w:tcMar>
              <w:top w:w="80" w:type="dxa"/>
              <w:bottom w:w="80" w:type="dxa"/>
              <w:start w:w="120" w:type="dxa"/>
              <w:end w:w="120" w:type="dxa"/>
            </w:tcMar>
          </w:tcPr>
          <w:p>
            <w:r>
              <w:rPr>
                <w:rFonts w:ascii="Calibri" w:hAnsi="Calibri"/>
                <w:b w:val="0"/>
                <w:color w:val="000000"/>
                <w:sz w:val="13"/>
              </w:rPr>
              <w:t>OPEN</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H16</w:t>
            </w:r>
          </w:p>
        </w:tc>
        <w:tc>
          <w:tcPr>
            <w:tcW w:type="dxa" w:w="1180"/>
            <w:vAlign w:val="top"/>
            <w:tcMar>
              <w:top w:w="80" w:type="dxa"/>
              <w:bottom w:w="80" w:type="dxa"/>
              <w:start w:w="120" w:type="dxa"/>
              <w:end w:w="120" w:type="dxa"/>
            </w:tcMar>
          </w:tcPr>
          <w:p>
            <w:r>
              <w:rPr>
                <w:rFonts w:ascii="Calibri" w:hAnsi="Calibri"/>
                <w:b w:val="0"/>
                <w:color w:val="000000"/>
                <w:sz w:val="13"/>
              </w:rPr>
              <w:t>AI/provider uses sensitive data beyond purpose</w:t>
            </w:r>
          </w:p>
        </w:tc>
        <w:tc>
          <w:tcPr>
            <w:tcW w:type="dxa" w:w="1320"/>
            <w:vAlign w:val="top"/>
            <w:tcMar>
              <w:top w:w="80" w:type="dxa"/>
              <w:bottom w:w="80" w:type="dxa"/>
              <w:start w:w="120" w:type="dxa"/>
              <w:end w:w="120" w:type="dxa"/>
            </w:tcMar>
          </w:tcPr>
          <w:p>
            <w:r>
              <w:rPr>
                <w:rFonts w:ascii="Calibri" w:hAnsi="Calibri"/>
                <w:b w:val="0"/>
                <w:color w:val="000000"/>
                <w:sz w:val="13"/>
              </w:rPr>
              <w:t>Privacy breach; model leakage</w:t>
            </w:r>
          </w:p>
        </w:tc>
        <w:tc>
          <w:tcPr>
            <w:tcW w:type="dxa" w:w="720"/>
            <w:vAlign w:val="top"/>
            <w:tcMar>
              <w:top w:w="80" w:type="dxa"/>
              <w:bottom w:w="80" w:type="dxa"/>
              <w:start w:w="120" w:type="dxa"/>
              <w:end w:w="120" w:type="dxa"/>
            </w:tcMar>
          </w:tcPr>
          <w:p>
            <w:r>
              <w:rPr>
                <w:rFonts w:ascii="Calibri" w:hAnsi="Calibri"/>
                <w:b w:val="0"/>
                <w:color w:val="000000"/>
                <w:sz w:val="13"/>
              </w:rPr>
              <w:t>S5/L3</w:t>
            </w:r>
          </w:p>
        </w:tc>
        <w:tc>
          <w:tcPr>
            <w:tcW w:type="dxa" w:w="2410"/>
            <w:vAlign w:val="top"/>
            <w:tcMar>
              <w:top w:w="80" w:type="dxa"/>
              <w:bottom w:w="80" w:type="dxa"/>
              <w:start w:w="120" w:type="dxa"/>
              <w:end w:w="120" w:type="dxa"/>
            </w:tcMar>
          </w:tcPr>
          <w:p>
            <w:r>
              <w:rPr>
                <w:rFonts w:ascii="Calibri" w:hAnsi="Calibri"/>
                <w:b w:val="0"/>
                <w:color w:val="000000"/>
                <w:sz w:val="13"/>
              </w:rPr>
              <w:t>No training by default; purpose-limited contracts; data minimisation; regional controls; retention/deletion verification; no public AI</w:t>
            </w:r>
          </w:p>
        </w:tc>
        <w:tc>
          <w:tcPr>
            <w:tcW w:type="dxa" w:w="1970"/>
            <w:vAlign w:val="top"/>
            <w:tcMar>
              <w:top w:w="80" w:type="dxa"/>
              <w:bottom w:w="80" w:type="dxa"/>
              <w:start w:w="120" w:type="dxa"/>
              <w:end w:w="120" w:type="dxa"/>
            </w:tcMar>
          </w:tcPr>
          <w:p>
            <w:r>
              <w:rPr>
                <w:rFonts w:ascii="Calibri" w:hAnsi="Calibri"/>
                <w:b w:val="0"/>
                <w:color w:val="000000"/>
                <w:sz w:val="13"/>
              </w:rPr>
              <w:t>Supplier audit; canary tests; deletion evidence</w:t>
            </w:r>
          </w:p>
        </w:tc>
        <w:tc>
          <w:tcPr>
            <w:tcW w:type="dxa" w:w="1240"/>
            <w:vAlign w:val="top"/>
            <w:tcMar>
              <w:top w:w="80" w:type="dxa"/>
              <w:bottom w:w="80" w:type="dxa"/>
              <w:start w:w="120" w:type="dxa"/>
              <w:end w:w="120" w:type="dxa"/>
            </w:tcMar>
          </w:tcPr>
          <w:p>
            <w:r>
              <w:rPr>
                <w:rFonts w:ascii="Calibri" w:hAnsi="Calibri"/>
                <w:b w:val="0"/>
                <w:color w:val="000000"/>
                <w:sz w:val="13"/>
              </w:rPr>
              <w:t>OPEN - BLOCKER</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H17</w:t>
            </w:r>
          </w:p>
        </w:tc>
        <w:tc>
          <w:tcPr>
            <w:tcW w:type="dxa" w:w="1180"/>
            <w:vAlign w:val="top"/>
            <w:tcMar>
              <w:top w:w="80" w:type="dxa"/>
              <w:bottom w:w="80" w:type="dxa"/>
              <w:start w:w="120" w:type="dxa"/>
              <w:end w:w="120" w:type="dxa"/>
            </w:tcMar>
          </w:tcPr>
          <w:p>
            <w:r>
              <w:rPr>
                <w:rFonts w:ascii="Calibri" w:hAnsi="Calibri"/>
                <w:b w:val="0"/>
                <w:color w:val="000000"/>
                <w:sz w:val="13"/>
              </w:rPr>
              <w:t>Bias against culture, disability or low literacy</w:t>
            </w:r>
          </w:p>
        </w:tc>
        <w:tc>
          <w:tcPr>
            <w:tcW w:type="dxa" w:w="1320"/>
            <w:vAlign w:val="top"/>
            <w:tcMar>
              <w:top w:w="80" w:type="dxa"/>
              <w:bottom w:w="80" w:type="dxa"/>
              <w:start w:w="120" w:type="dxa"/>
              <w:end w:w="120" w:type="dxa"/>
            </w:tcMar>
          </w:tcPr>
          <w:p>
            <w:r>
              <w:rPr>
                <w:rFonts w:ascii="Calibri" w:hAnsi="Calibri"/>
                <w:b w:val="0"/>
                <w:color w:val="000000"/>
                <w:sz w:val="13"/>
              </w:rPr>
              <w:t>Discrimination; invalid result; family harm</w:t>
            </w:r>
          </w:p>
        </w:tc>
        <w:tc>
          <w:tcPr>
            <w:tcW w:type="dxa" w:w="720"/>
            <w:vAlign w:val="top"/>
            <w:tcMar>
              <w:top w:w="80" w:type="dxa"/>
              <w:bottom w:w="80" w:type="dxa"/>
              <w:start w:w="120" w:type="dxa"/>
              <w:end w:w="120" w:type="dxa"/>
            </w:tcMar>
          </w:tcPr>
          <w:p>
            <w:r>
              <w:rPr>
                <w:rFonts w:ascii="Calibri" w:hAnsi="Calibri"/>
                <w:b w:val="0"/>
                <w:color w:val="000000"/>
                <w:sz w:val="13"/>
              </w:rPr>
              <w:t>S4/L3</w:t>
            </w:r>
          </w:p>
        </w:tc>
        <w:tc>
          <w:tcPr>
            <w:tcW w:type="dxa" w:w="2410"/>
            <w:vAlign w:val="top"/>
            <w:tcMar>
              <w:top w:w="80" w:type="dxa"/>
              <w:bottom w:w="80" w:type="dxa"/>
              <w:start w:w="120" w:type="dxa"/>
              <w:end w:w="120" w:type="dxa"/>
            </w:tcMar>
          </w:tcPr>
          <w:p>
            <w:r>
              <w:rPr>
                <w:rFonts w:ascii="Calibri" w:hAnsi="Calibri"/>
                <w:b w:val="0"/>
                <w:color w:val="000000"/>
                <w:sz w:val="13"/>
              </w:rPr>
              <w:t>Co-design; accessible/read-aloud modes; appropriate norms; subgroup evaluation; reasonable adjustments; no adverse inference from assistance</w:t>
            </w:r>
          </w:p>
        </w:tc>
        <w:tc>
          <w:tcPr>
            <w:tcW w:type="dxa" w:w="1970"/>
            <w:vAlign w:val="top"/>
            <w:tcMar>
              <w:top w:w="80" w:type="dxa"/>
              <w:bottom w:w="80" w:type="dxa"/>
              <w:start w:w="120" w:type="dxa"/>
              <w:end w:w="120" w:type="dxa"/>
            </w:tcMar>
          </w:tcPr>
          <w:p>
            <w:r>
              <w:rPr>
                <w:rFonts w:ascii="Calibri" w:hAnsi="Calibri"/>
                <w:b w:val="0"/>
                <w:color w:val="000000"/>
                <w:sz w:val="13"/>
              </w:rPr>
              <w:t>Subgroup performance and accessibility testing</w:t>
            </w:r>
          </w:p>
        </w:tc>
        <w:tc>
          <w:tcPr>
            <w:tcW w:type="dxa" w:w="1240"/>
            <w:vAlign w:val="top"/>
            <w:tcMar>
              <w:top w:w="80" w:type="dxa"/>
              <w:bottom w:w="80" w:type="dxa"/>
              <w:start w:w="120" w:type="dxa"/>
              <w:end w:w="120" w:type="dxa"/>
            </w:tcMar>
          </w:tcPr>
          <w:p>
            <w:r>
              <w:rPr>
                <w:rFonts w:ascii="Calibri" w:hAnsi="Calibri"/>
                <w:b w:val="0"/>
                <w:color w:val="000000"/>
                <w:sz w:val="13"/>
              </w:rPr>
              <w:t>OPEN</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H18</w:t>
            </w:r>
          </w:p>
        </w:tc>
        <w:tc>
          <w:tcPr>
            <w:tcW w:type="dxa" w:w="1180"/>
            <w:vAlign w:val="top"/>
            <w:tcMar>
              <w:top w:w="80" w:type="dxa"/>
              <w:bottom w:w="80" w:type="dxa"/>
              <w:start w:w="120" w:type="dxa"/>
              <w:end w:w="120" w:type="dxa"/>
            </w:tcMar>
          </w:tcPr>
          <w:p>
            <w:r>
              <w:rPr>
                <w:rFonts w:ascii="Calibri" w:hAnsi="Calibri"/>
                <w:b w:val="0"/>
                <w:color w:val="000000"/>
                <w:sz w:val="13"/>
              </w:rPr>
              <w:t>Missed deadline/visit due notification failure</w:t>
            </w:r>
          </w:p>
        </w:tc>
        <w:tc>
          <w:tcPr>
            <w:tcW w:type="dxa" w:w="1320"/>
            <w:vAlign w:val="top"/>
            <w:tcMar>
              <w:top w:w="80" w:type="dxa"/>
              <w:bottom w:w="80" w:type="dxa"/>
              <w:start w:w="120" w:type="dxa"/>
              <w:end w:w="120" w:type="dxa"/>
            </w:tcMar>
          </w:tcPr>
          <w:p>
            <w:r>
              <w:rPr>
                <w:rFonts w:ascii="Calibri" w:hAnsi="Calibri"/>
                <w:b w:val="0"/>
                <w:color w:val="000000"/>
                <w:sz w:val="13"/>
              </w:rPr>
              <w:t>Case or contact impact</w:t>
            </w:r>
          </w:p>
        </w:tc>
        <w:tc>
          <w:tcPr>
            <w:tcW w:type="dxa" w:w="720"/>
            <w:vAlign w:val="top"/>
            <w:tcMar>
              <w:top w:w="80" w:type="dxa"/>
              <w:bottom w:w="80" w:type="dxa"/>
              <w:start w:w="120" w:type="dxa"/>
              <w:end w:w="120" w:type="dxa"/>
            </w:tcMar>
          </w:tcPr>
          <w:p>
            <w:r>
              <w:rPr>
                <w:rFonts w:ascii="Calibri" w:hAnsi="Calibri"/>
                <w:b w:val="0"/>
                <w:color w:val="000000"/>
                <w:sz w:val="13"/>
              </w:rPr>
              <w:t>S3/L3</w:t>
            </w:r>
          </w:p>
        </w:tc>
        <w:tc>
          <w:tcPr>
            <w:tcW w:type="dxa" w:w="2410"/>
            <w:vAlign w:val="top"/>
            <w:tcMar>
              <w:top w:w="80" w:type="dxa"/>
              <w:bottom w:w="80" w:type="dxa"/>
              <w:start w:w="120" w:type="dxa"/>
              <w:end w:w="120" w:type="dxa"/>
            </w:tcMar>
          </w:tcPr>
          <w:p>
            <w:r>
              <w:rPr>
                <w:rFonts w:ascii="Calibri" w:hAnsi="Calibri"/>
                <w:b w:val="0"/>
                <w:color w:val="000000"/>
                <w:sz w:val="13"/>
              </w:rPr>
              <w:t>Multiple channels; confirmation; private lock-screen text; timezone/calendar validation; support-oriented recovery</w:t>
            </w:r>
          </w:p>
        </w:tc>
        <w:tc>
          <w:tcPr>
            <w:tcW w:type="dxa" w:w="1970"/>
            <w:vAlign w:val="top"/>
            <w:tcMar>
              <w:top w:w="80" w:type="dxa"/>
              <w:bottom w:w="80" w:type="dxa"/>
              <w:start w:w="120" w:type="dxa"/>
              <w:end w:w="120" w:type="dxa"/>
            </w:tcMar>
          </w:tcPr>
          <w:p>
            <w:r>
              <w:rPr>
                <w:rFonts w:ascii="Calibri" w:hAnsi="Calibri"/>
                <w:b w:val="0"/>
                <w:color w:val="000000"/>
                <w:sz w:val="13"/>
              </w:rPr>
              <w:t>Delivery/failure tests; timezone and device tests</w:t>
            </w:r>
          </w:p>
        </w:tc>
        <w:tc>
          <w:tcPr>
            <w:tcW w:type="dxa" w:w="1240"/>
            <w:vAlign w:val="top"/>
            <w:tcMar>
              <w:top w:w="80" w:type="dxa"/>
              <w:bottom w:w="80" w:type="dxa"/>
              <w:start w:w="120" w:type="dxa"/>
              <w:end w:w="120" w:type="dxa"/>
            </w:tcMar>
          </w:tcPr>
          <w:p>
            <w:r>
              <w:rPr>
                <w:rFonts w:ascii="Calibri" w:hAnsi="Calibri"/>
                <w:b w:val="0"/>
                <w:color w:val="000000"/>
                <w:sz w:val="13"/>
              </w:rPr>
              <w:t>OPEN</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H19</w:t>
            </w:r>
          </w:p>
        </w:tc>
        <w:tc>
          <w:tcPr>
            <w:tcW w:type="dxa" w:w="1180"/>
            <w:vAlign w:val="top"/>
            <w:tcMar>
              <w:top w:w="80" w:type="dxa"/>
              <w:bottom w:w="80" w:type="dxa"/>
              <w:start w:w="120" w:type="dxa"/>
              <w:end w:w="120" w:type="dxa"/>
            </w:tcMar>
          </w:tcPr>
          <w:p>
            <w:r>
              <w:rPr>
                <w:rFonts w:ascii="Calibri" w:hAnsi="Calibri"/>
                <w:b w:val="0"/>
                <w:color w:val="000000"/>
                <w:sz w:val="13"/>
              </w:rPr>
              <w:t>Urgent human escalation unavailable</w:t>
            </w:r>
          </w:p>
        </w:tc>
        <w:tc>
          <w:tcPr>
            <w:tcW w:type="dxa" w:w="1320"/>
            <w:vAlign w:val="top"/>
            <w:tcMar>
              <w:top w:w="80" w:type="dxa"/>
              <w:bottom w:w="80" w:type="dxa"/>
              <w:start w:w="120" w:type="dxa"/>
              <w:end w:w="120" w:type="dxa"/>
            </w:tcMar>
          </w:tcPr>
          <w:p>
            <w:r>
              <w:rPr>
                <w:rFonts w:ascii="Calibri" w:hAnsi="Calibri"/>
                <w:b w:val="0"/>
                <w:color w:val="000000"/>
                <w:sz w:val="13"/>
              </w:rPr>
              <w:t>User abandoned during crisis</w:t>
            </w:r>
          </w:p>
        </w:tc>
        <w:tc>
          <w:tcPr>
            <w:tcW w:type="dxa" w:w="720"/>
            <w:vAlign w:val="top"/>
            <w:tcMar>
              <w:top w:w="80" w:type="dxa"/>
              <w:bottom w:w="80" w:type="dxa"/>
              <w:start w:w="120" w:type="dxa"/>
              <w:end w:w="120" w:type="dxa"/>
            </w:tcMar>
          </w:tcPr>
          <w:p>
            <w:r>
              <w:rPr>
                <w:rFonts w:ascii="Calibri" w:hAnsi="Calibri"/>
                <w:b w:val="0"/>
                <w:color w:val="000000"/>
                <w:sz w:val="13"/>
              </w:rPr>
              <w:t>S5/L3</w:t>
            </w:r>
          </w:p>
        </w:tc>
        <w:tc>
          <w:tcPr>
            <w:tcW w:type="dxa" w:w="2410"/>
            <w:vAlign w:val="top"/>
            <w:tcMar>
              <w:top w:w="80" w:type="dxa"/>
              <w:bottom w:w="80" w:type="dxa"/>
              <w:start w:w="120" w:type="dxa"/>
              <w:end w:w="120" w:type="dxa"/>
            </w:tcMar>
          </w:tcPr>
          <w:p>
            <w:r>
              <w:rPr>
                <w:rFonts w:ascii="Calibri" w:hAnsi="Calibri"/>
                <w:b w:val="0"/>
                <w:color w:val="000000"/>
                <w:sz w:val="13"/>
              </w:rPr>
              <w:t>Availability check; fallback numbers; location confirmation; queue timeout; warm handoff where possible; no promise of continuous monitoring</w:t>
            </w:r>
          </w:p>
        </w:tc>
        <w:tc>
          <w:tcPr>
            <w:tcW w:type="dxa" w:w="1970"/>
            <w:vAlign w:val="top"/>
            <w:tcMar>
              <w:top w:w="80" w:type="dxa"/>
              <w:bottom w:w="80" w:type="dxa"/>
              <w:start w:w="120" w:type="dxa"/>
              <w:end w:w="120" w:type="dxa"/>
            </w:tcMar>
          </w:tcPr>
          <w:p>
            <w:r>
              <w:rPr>
                <w:rFonts w:ascii="Calibri" w:hAnsi="Calibri"/>
                <w:b w:val="0"/>
                <w:color w:val="000000"/>
                <w:sz w:val="13"/>
              </w:rPr>
              <w:t>Outage and after-hours drills</w:t>
            </w:r>
          </w:p>
        </w:tc>
        <w:tc>
          <w:tcPr>
            <w:tcW w:type="dxa" w:w="1240"/>
            <w:vAlign w:val="top"/>
            <w:tcMar>
              <w:top w:w="80" w:type="dxa"/>
              <w:bottom w:w="80" w:type="dxa"/>
              <w:start w:w="120" w:type="dxa"/>
              <w:end w:w="120" w:type="dxa"/>
            </w:tcMar>
          </w:tcPr>
          <w:p>
            <w:r>
              <w:rPr>
                <w:rFonts w:ascii="Calibri" w:hAnsi="Calibri"/>
                <w:b w:val="0"/>
                <w:color w:val="000000"/>
                <w:sz w:val="13"/>
              </w:rPr>
              <w:t>OPEN - BLOCKER</w:t>
            </w:r>
          </w:p>
        </w:tc>
      </w:tr>
      <w:tr>
        <w:trPr>
          <w:cantSplit/>
        </w:trPr>
        <w:tc>
          <w:tcPr>
            <w:tcW w:type="dxa" w:w="520"/>
            <w:vAlign w:val="top"/>
            <w:tcMar>
              <w:top w:w="80" w:type="dxa"/>
              <w:bottom w:w="80" w:type="dxa"/>
              <w:start w:w="120" w:type="dxa"/>
              <w:end w:w="120" w:type="dxa"/>
            </w:tcMar>
          </w:tcPr>
          <w:p>
            <w:r>
              <w:rPr>
                <w:rFonts w:ascii="Calibri" w:hAnsi="Calibri"/>
                <w:b/>
                <w:color w:val="183B3A"/>
                <w:sz w:val="13"/>
              </w:rPr>
              <w:t>H20</w:t>
            </w:r>
          </w:p>
        </w:tc>
        <w:tc>
          <w:tcPr>
            <w:tcW w:type="dxa" w:w="1180"/>
            <w:vAlign w:val="top"/>
            <w:tcMar>
              <w:top w:w="80" w:type="dxa"/>
              <w:bottom w:w="80" w:type="dxa"/>
              <w:start w:w="120" w:type="dxa"/>
              <w:end w:w="120" w:type="dxa"/>
            </w:tcMar>
          </w:tcPr>
          <w:p>
            <w:r>
              <w:rPr>
                <w:rFonts w:ascii="Calibri" w:hAnsi="Calibri"/>
                <w:b w:val="0"/>
                <w:color w:val="000000"/>
                <w:sz w:val="13"/>
              </w:rPr>
              <w:t>Scope creep changes intended purpose</w:t>
            </w:r>
          </w:p>
        </w:tc>
        <w:tc>
          <w:tcPr>
            <w:tcW w:type="dxa" w:w="1320"/>
            <w:vAlign w:val="top"/>
            <w:tcMar>
              <w:top w:w="80" w:type="dxa"/>
              <w:bottom w:w="80" w:type="dxa"/>
              <w:start w:w="120" w:type="dxa"/>
              <w:end w:w="120" w:type="dxa"/>
            </w:tcMar>
          </w:tcPr>
          <w:p>
            <w:r>
              <w:rPr>
                <w:rFonts w:ascii="Calibri" w:hAnsi="Calibri"/>
                <w:b w:val="0"/>
                <w:color w:val="000000"/>
                <w:sz w:val="13"/>
              </w:rPr>
              <w:t>Unapproved medical function supplied</w:t>
            </w:r>
          </w:p>
        </w:tc>
        <w:tc>
          <w:tcPr>
            <w:tcW w:type="dxa" w:w="720"/>
            <w:vAlign w:val="top"/>
            <w:tcMar>
              <w:top w:w="80" w:type="dxa"/>
              <w:bottom w:w="80" w:type="dxa"/>
              <w:start w:w="120" w:type="dxa"/>
              <w:end w:w="120" w:type="dxa"/>
            </w:tcMar>
          </w:tcPr>
          <w:p>
            <w:r>
              <w:rPr>
                <w:rFonts w:ascii="Calibri" w:hAnsi="Calibri"/>
                <w:b w:val="0"/>
                <w:color w:val="000000"/>
                <w:sz w:val="13"/>
              </w:rPr>
              <w:t>S4/L3</w:t>
            </w:r>
          </w:p>
        </w:tc>
        <w:tc>
          <w:tcPr>
            <w:tcW w:type="dxa" w:w="2410"/>
            <w:vAlign w:val="top"/>
            <w:tcMar>
              <w:top w:w="80" w:type="dxa"/>
              <w:bottom w:w="80" w:type="dxa"/>
              <w:start w:w="120" w:type="dxa"/>
              <w:end w:w="120" w:type="dxa"/>
            </w:tcMar>
          </w:tcPr>
          <w:p>
            <w:r>
              <w:rPr>
                <w:rFonts w:ascii="Calibri" w:hAnsi="Calibri"/>
                <w:b w:val="0"/>
                <w:color w:val="000000"/>
                <w:sz w:val="13"/>
              </w:rPr>
              <w:t>Claims register; feature regulatory review; controlled models/prompts; release gate; post-release misuse monitoring</w:t>
            </w:r>
          </w:p>
        </w:tc>
        <w:tc>
          <w:tcPr>
            <w:tcW w:type="dxa" w:w="1970"/>
            <w:vAlign w:val="top"/>
            <w:tcMar>
              <w:top w:w="80" w:type="dxa"/>
              <w:bottom w:w="80" w:type="dxa"/>
              <w:start w:w="120" w:type="dxa"/>
              <w:end w:w="120" w:type="dxa"/>
            </w:tcMar>
          </w:tcPr>
          <w:p>
            <w:r>
              <w:rPr>
                <w:rFonts w:ascii="Calibri" w:hAnsi="Calibri"/>
                <w:b w:val="0"/>
                <w:color w:val="000000"/>
                <w:sz w:val="13"/>
              </w:rPr>
              <w:t>Change-control audit; prohibited-claim scans</w:t>
            </w:r>
          </w:p>
        </w:tc>
        <w:tc>
          <w:tcPr>
            <w:tcW w:type="dxa" w:w="1240"/>
            <w:vAlign w:val="top"/>
            <w:tcMar>
              <w:top w:w="80" w:type="dxa"/>
              <w:bottom w:w="80" w:type="dxa"/>
              <w:start w:w="120" w:type="dxa"/>
              <w:end w:w="120" w:type="dxa"/>
            </w:tcMar>
          </w:tcPr>
          <w:p>
            <w:r>
              <w:rPr>
                <w:rFonts w:ascii="Calibri" w:hAnsi="Calibri"/>
                <w:b w:val="0"/>
                <w:color w:val="000000"/>
                <w:sz w:val="13"/>
              </w:rPr>
              <w:t>OPEN</w:t>
            </w:r>
          </w:p>
        </w:tc>
      </w:tr>
    </w:tbl>
    <w:p>
      <w:pPr>
        <w:pStyle w:val="Heading1"/>
      </w:pPr>
      <w:r>
        <w:t>4. Safety-critical control groups</w:t>
      </w:r>
    </w:p>
    <w:tbl>
      <w:tblPr>
        <w:tblStyle w:val="TableGrid"/>
        <w:tblW w:type="dxa" w:w="9360"/>
        <w:tblLayout w:type="fixed"/>
        <w:tblLook w:firstColumn="1" w:firstRow="1" w:lastColumn="0" w:lastRow="0" w:noHBand="0" w:noVBand="1" w:val="04A0"/>
        <w:jc w:val="left"/>
        <w:tblInd w:w="120" w:type="dxa"/>
      </w:tblPr>
      <w:tblGrid>
        <w:gridCol w:w="1900"/>
        <w:gridCol w:w="4300"/>
        <w:gridCol w:w="3160"/>
      </w:tblGrid>
      <w:tr>
        <w:trPr>
          <w:tblHeader/>
        </w:trPr>
        <w:tc>
          <w:tcPr>
            <w:tcW w:type="dxa" w:w="1900"/>
            <w:vAlign w:val="top"/>
            <w:tcMar>
              <w:top w:w="80" w:type="dxa"/>
              <w:bottom w:w="80" w:type="dxa"/>
              <w:start w:w="120" w:type="dxa"/>
              <w:end w:w="120" w:type="dxa"/>
            </w:tcMar>
            <w:shd w:fill="2E746E"/>
          </w:tcPr>
          <w:p>
            <w:r>
              <w:rPr>
                <w:rFonts w:ascii="Calibri" w:hAnsi="Calibri"/>
                <w:b/>
                <w:color w:val="FFFFFF"/>
                <w:sz w:val="18"/>
              </w:rPr>
              <w:t>Control group</w:t>
            </w:r>
          </w:p>
        </w:tc>
        <w:tc>
          <w:tcPr>
            <w:tcW w:type="dxa" w:w="4300"/>
            <w:vAlign w:val="top"/>
            <w:tcMar>
              <w:top w:w="80" w:type="dxa"/>
              <w:bottom w:w="80" w:type="dxa"/>
              <w:start w:w="120" w:type="dxa"/>
              <w:end w:w="120" w:type="dxa"/>
            </w:tcMar>
            <w:shd w:fill="2E746E"/>
          </w:tcPr>
          <w:p>
            <w:r>
              <w:rPr>
                <w:rFonts w:ascii="Calibri" w:hAnsi="Calibri"/>
                <w:b/>
                <w:color w:val="FFFFFF"/>
                <w:sz w:val="18"/>
              </w:rPr>
              <w:t>Minimum design requirements</w:t>
            </w:r>
          </w:p>
        </w:tc>
        <w:tc>
          <w:tcPr>
            <w:tcW w:type="dxa" w:w="3160"/>
            <w:vAlign w:val="top"/>
            <w:tcMar>
              <w:top w:w="80" w:type="dxa"/>
              <w:bottom w:w="80" w:type="dxa"/>
              <w:start w:w="120" w:type="dxa"/>
              <w:end w:w="120" w:type="dxa"/>
            </w:tcMar>
            <w:shd w:fill="2E746E"/>
          </w:tcPr>
          <w:p>
            <w:r>
              <w:rPr>
                <w:rFonts w:ascii="Calibri" w:hAnsi="Calibri"/>
                <w:b/>
                <w:color w:val="FFFFFF"/>
                <w:sz w:val="18"/>
              </w:rPr>
              <w:t>Evidence before release</w:t>
            </w:r>
          </w:p>
        </w:tc>
      </w:tr>
      <w:tr>
        <w:trPr>
          <w:cantSplit/>
        </w:trPr>
        <w:tc>
          <w:tcPr>
            <w:tcW w:type="dxa" w:w="1900"/>
            <w:vAlign w:val="top"/>
            <w:tcMar>
              <w:top w:w="80" w:type="dxa"/>
              <w:bottom w:w="80" w:type="dxa"/>
              <w:start w:w="120" w:type="dxa"/>
              <w:end w:w="120" w:type="dxa"/>
            </w:tcMar>
          </w:tcPr>
          <w:p>
            <w:r>
              <w:rPr>
                <w:rFonts w:ascii="Calibri" w:hAnsi="Calibri"/>
                <w:b/>
                <w:color w:val="183B3A"/>
                <w:sz w:val="16"/>
              </w:rPr>
              <w:t>Urgent safety</w:t>
            </w:r>
          </w:p>
        </w:tc>
        <w:tc>
          <w:tcPr>
            <w:tcW w:type="dxa" w:w="4300"/>
            <w:vAlign w:val="top"/>
            <w:tcMar>
              <w:top w:w="80" w:type="dxa"/>
              <w:bottom w:w="80" w:type="dxa"/>
              <w:start w:w="120" w:type="dxa"/>
              <w:end w:w="120" w:type="dxa"/>
            </w:tcMar>
          </w:tcPr>
          <w:p>
            <w:r>
              <w:rPr>
                <w:rFonts w:ascii="Calibri" w:hAnsi="Calibri"/>
                <w:b w:val="0"/>
                <w:color w:val="000000"/>
                <w:sz w:val="16"/>
              </w:rPr>
              <w:t>Separate deterministic emergency rules; no dependence on generative wording; location-aware options; human fallback; response-time ownership.</w:t>
            </w:r>
          </w:p>
        </w:tc>
        <w:tc>
          <w:tcPr>
            <w:tcW w:type="dxa" w:w="3160"/>
            <w:vAlign w:val="top"/>
            <w:tcMar>
              <w:top w:w="80" w:type="dxa"/>
              <w:bottom w:w="80" w:type="dxa"/>
              <w:start w:w="120" w:type="dxa"/>
              <w:end w:w="120" w:type="dxa"/>
            </w:tcMar>
          </w:tcPr>
          <w:p>
            <w:r>
              <w:rPr>
                <w:rFonts w:ascii="Calibri" w:hAnsi="Calibri"/>
                <w:b w:val="0"/>
                <w:color w:val="000000"/>
                <w:sz w:val="16"/>
              </w:rPr>
              <w:t>Scenario suite, clinical/safeguarding approval, false-negative analysis, outage drills.</w:t>
            </w:r>
          </w:p>
        </w:tc>
      </w:tr>
      <w:tr>
        <w:trPr>
          <w:cantSplit/>
        </w:trPr>
        <w:tc>
          <w:tcPr>
            <w:tcW w:type="dxa" w:w="1900"/>
            <w:vAlign w:val="top"/>
            <w:tcMar>
              <w:top w:w="80" w:type="dxa"/>
              <w:bottom w:w="80" w:type="dxa"/>
              <w:start w:w="120" w:type="dxa"/>
              <w:end w:w="120" w:type="dxa"/>
            </w:tcMar>
          </w:tcPr>
          <w:p>
            <w:r>
              <w:rPr>
                <w:rFonts w:ascii="Calibri" w:hAnsi="Calibri"/>
                <w:b/>
                <w:color w:val="183B3A"/>
                <w:sz w:val="16"/>
              </w:rPr>
              <w:t>Clinical outputs</w:t>
            </w:r>
          </w:p>
        </w:tc>
        <w:tc>
          <w:tcPr>
            <w:tcW w:type="dxa" w:w="4300"/>
            <w:vAlign w:val="top"/>
            <w:tcMar>
              <w:top w:w="80" w:type="dxa"/>
              <w:bottom w:w="80" w:type="dxa"/>
              <w:start w:w="120" w:type="dxa"/>
              <w:end w:w="120" w:type="dxa"/>
            </w:tcMar>
          </w:tcPr>
          <w:p>
            <w:r>
              <w:rPr>
                <w:rFonts w:ascii="Calibri" w:hAnsi="Calibri"/>
                <w:b w:val="0"/>
                <w:color w:val="000000"/>
                <w:sz w:val="16"/>
              </w:rPr>
              <w:t>Locked instruments and scoring; population/eligibility gates; uncertainty and missing-data rules; explicit preliminary status.</w:t>
            </w:r>
          </w:p>
        </w:tc>
        <w:tc>
          <w:tcPr>
            <w:tcW w:type="dxa" w:w="3160"/>
            <w:vAlign w:val="top"/>
            <w:tcMar>
              <w:top w:w="80" w:type="dxa"/>
              <w:bottom w:w="80" w:type="dxa"/>
              <w:start w:w="120" w:type="dxa"/>
              <w:end w:w="120" w:type="dxa"/>
            </w:tcMar>
          </w:tcPr>
          <w:p>
            <w:r>
              <w:rPr>
                <w:rFonts w:ascii="Calibri" w:hAnsi="Calibri"/>
                <w:b w:val="0"/>
                <w:color w:val="000000"/>
                <w:sz w:val="16"/>
              </w:rPr>
              <w:t>Clinical evaluation, known-answer tests, comprehension, subgroup performance.</w:t>
            </w:r>
          </w:p>
        </w:tc>
      </w:tr>
      <w:tr>
        <w:trPr>
          <w:cantSplit/>
        </w:trPr>
        <w:tc>
          <w:tcPr>
            <w:tcW w:type="dxa" w:w="1900"/>
            <w:vAlign w:val="top"/>
            <w:tcMar>
              <w:top w:w="80" w:type="dxa"/>
              <w:bottom w:w="80" w:type="dxa"/>
              <w:start w:w="120" w:type="dxa"/>
              <w:end w:w="120" w:type="dxa"/>
            </w:tcMar>
          </w:tcPr>
          <w:p>
            <w:r>
              <w:rPr>
                <w:rFonts w:ascii="Calibri" w:hAnsi="Calibri"/>
                <w:b/>
                <w:color w:val="183B3A"/>
                <w:sz w:val="16"/>
              </w:rPr>
              <w:t>AI assistance</w:t>
            </w:r>
          </w:p>
        </w:tc>
        <w:tc>
          <w:tcPr>
            <w:tcW w:type="dxa" w:w="4300"/>
            <w:vAlign w:val="top"/>
            <w:tcMar>
              <w:top w:w="80" w:type="dxa"/>
              <w:bottom w:w="80" w:type="dxa"/>
              <w:start w:w="120" w:type="dxa"/>
              <w:end w:w="120" w:type="dxa"/>
            </w:tcMar>
          </w:tcPr>
          <w:p>
            <w:r>
              <w:rPr>
                <w:rFonts w:ascii="Calibri" w:hAnsi="Calibri"/>
                <w:b w:val="0"/>
                <w:color w:val="000000"/>
                <w:sz w:val="16"/>
              </w:rPr>
              <w:t>Source-bounded tasks; prohibited actions; model/prompt/version control; uncertainty; contestability; rollback.</w:t>
            </w:r>
          </w:p>
        </w:tc>
        <w:tc>
          <w:tcPr>
            <w:tcW w:type="dxa" w:w="3160"/>
            <w:vAlign w:val="top"/>
            <w:tcMar>
              <w:top w:w="80" w:type="dxa"/>
              <w:bottom w:w="80" w:type="dxa"/>
              <w:start w:w="120" w:type="dxa"/>
              <w:end w:w="120" w:type="dxa"/>
            </w:tcMar>
          </w:tcPr>
          <w:p>
            <w:r>
              <w:rPr>
                <w:rFonts w:ascii="Calibri" w:hAnsi="Calibri"/>
                <w:b w:val="0"/>
                <w:color w:val="000000"/>
                <w:sz w:val="16"/>
              </w:rPr>
              <w:t>Adversarial evaluation, hallucination metrics, red-team report, change approval.</w:t>
            </w:r>
          </w:p>
        </w:tc>
      </w:tr>
      <w:tr>
        <w:trPr>
          <w:cantSplit/>
        </w:trPr>
        <w:tc>
          <w:tcPr>
            <w:tcW w:type="dxa" w:w="1900"/>
            <w:vAlign w:val="top"/>
            <w:tcMar>
              <w:top w:w="80" w:type="dxa"/>
              <w:bottom w:w="80" w:type="dxa"/>
              <w:start w:w="120" w:type="dxa"/>
              <w:end w:w="120" w:type="dxa"/>
            </w:tcMar>
          </w:tcPr>
          <w:p>
            <w:r>
              <w:rPr>
                <w:rFonts w:ascii="Calibri" w:hAnsi="Calibri"/>
                <w:b/>
                <w:color w:val="183B3A"/>
                <w:sz w:val="16"/>
              </w:rPr>
              <w:t>Child/DFV privacy</w:t>
            </w:r>
          </w:p>
        </w:tc>
        <w:tc>
          <w:tcPr>
            <w:tcW w:type="dxa" w:w="4300"/>
            <w:vAlign w:val="top"/>
            <w:tcMar>
              <w:top w:w="80" w:type="dxa"/>
              <w:bottom w:w="80" w:type="dxa"/>
              <w:start w:w="120" w:type="dxa"/>
              <w:end w:w="120" w:type="dxa"/>
            </w:tcMar>
          </w:tcPr>
          <w:p>
            <w:r>
              <w:rPr>
                <w:rFonts w:ascii="Calibri" w:hAnsi="Calibri"/>
                <w:b w:val="0"/>
                <w:color w:val="000000"/>
                <w:sz w:val="16"/>
              </w:rPr>
              <w:t>Private-by-default; safe device patterns; authority/assent; minimum disclosure; emergency review.</w:t>
            </w:r>
          </w:p>
        </w:tc>
        <w:tc>
          <w:tcPr>
            <w:tcW w:type="dxa" w:w="3160"/>
            <w:vAlign w:val="top"/>
            <w:tcMar>
              <w:top w:w="80" w:type="dxa"/>
              <w:bottom w:w="80" w:type="dxa"/>
              <w:start w:w="120" w:type="dxa"/>
              <w:end w:w="120" w:type="dxa"/>
            </w:tcMar>
          </w:tcPr>
          <w:p>
            <w:r>
              <w:rPr>
                <w:rFonts w:ascii="Calibri" w:hAnsi="Calibri"/>
                <w:b w:val="0"/>
                <w:color w:val="000000"/>
                <w:sz w:val="16"/>
              </w:rPr>
              <w:t>PIA, threat model, lived-experience testing, access-control and disclosure simulations.</w:t>
            </w:r>
          </w:p>
        </w:tc>
      </w:tr>
      <w:tr>
        <w:trPr>
          <w:cantSplit/>
        </w:trPr>
        <w:tc>
          <w:tcPr>
            <w:tcW w:type="dxa" w:w="1900"/>
            <w:vAlign w:val="top"/>
            <w:tcMar>
              <w:top w:w="80" w:type="dxa"/>
              <w:bottom w:w="80" w:type="dxa"/>
              <w:start w:w="120" w:type="dxa"/>
              <w:end w:w="120" w:type="dxa"/>
            </w:tcMar>
          </w:tcPr>
          <w:p>
            <w:r>
              <w:rPr>
                <w:rFonts w:ascii="Calibri" w:hAnsi="Calibri"/>
                <w:b/>
                <w:color w:val="183B3A"/>
                <w:sz w:val="16"/>
              </w:rPr>
              <w:t>Evidence integrity</w:t>
            </w:r>
          </w:p>
        </w:tc>
        <w:tc>
          <w:tcPr>
            <w:tcW w:type="dxa" w:w="4300"/>
            <w:vAlign w:val="top"/>
            <w:tcMar>
              <w:top w:w="80" w:type="dxa"/>
              <w:bottom w:w="80" w:type="dxa"/>
              <w:start w:w="120" w:type="dxa"/>
              <w:end w:w="120" w:type="dxa"/>
            </w:tcMar>
          </w:tcPr>
          <w:p>
            <w:r>
              <w:rPr>
                <w:rFonts w:ascii="Calibri" w:hAnsi="Calibri"/>
                <w:b w:val="0"/>
                <w:color w:val="000000"/>
                <w:sz w:val="16"/>
              </w:rPr>
              <w:t>Live-capture rules; provenance; append-only versions; tamper evidence; trusted timestamps; export verification.</w:t>
            </w:r>
          </w:p>
        </w:tc>
        <w:tc>
          <w:tcPr>
            <w:tcW w:type="dxa" w:w="3160"/>
            <w:vAlign w:val="top"/>
            <w:tcMar>
              <w:top w:w="80" w:type="dxa"/>
              <w:bottom w:w="80" w:type="dxa"/>
              <w:start w:w="120" w:type="dxa"/>
              <w:end w:w="120" w:type="dxa"/>
            </w:tcMar>
          </w:tcPr>
          <w:p>
            <w:r>
              <w:rPr>
                <w:rFonts w:ascii="Calibri" w:hAnsi="Calibri"/>
                <w:b w:val="0"/>
                <w:color w:val="000000"/>
                <w:sz w:val="16"/>
              </w:rPr>
              <w:t>Cryptographic design review, tamper/recovery tests, independent security assessment.</w:t>
            </w:r>
          </w:p>
        </w:tc>
      </w:tr>
      <w:tr>
        <w:trPr>
          <w:cantSplit/>
        </w:trPr>
        <w:tc>
          <w:tcPr>
            <w:tcW w:type="dxa" w:w="1900"/>
            <w:vAlign w:val="top"/>
            <w:tcMar>
              <w:top w:w="80" w:type="dxa"/>
              <w:bottom w:w="80" w:type="dxa"/>
              <w:start w:w="120" w:type="dxa"/>
              <w:end w:w="120" w:type="dxa"/>
            </w:tcMar>
          </w:tcPr>
          <w:p>
            <w:r>
              <w:rPr>
                <w:rFonts w:ascii="Calibri" w:hAnsi="Calibri"/>
                <w:b/>
                <w:color w:val="183B3A"/>
                <w:sz w:val="16"/>
              </w:rPr>
              <w:t>Fairness and due process</w:t>
            </w:r>
          </w:p>
        </w:tc>
        <w:tc>
          <w:tcPr>
            <w:tcW w:type="dxa" w:w="4300"/>
            <w:vAlign w:val="top"/>
            <w:tcMar>
              <w:top w:w="80" w:type="dxa"/>
              <w:bottom w:w="80" w:type="dxa"/>
              <w:start w:w="120" w:type="dxa"/>
              <w:end w:w="120" w:type="dxa"/>
            </w:tcMar>
          </w:tcPr>
          <w:p>
            <w:r>
              <w:rPr>
                <w:rFonts w:ascii="Calibri" w:hAnsi="Calibri"/>
                <w:b w:val="0"/>
                <w:color w:val="000000"/>
                <w:sz w:val="16"/>
              </w:rPr>
              <w:t>Facts/opinions/disputes separated; right of reply; contrary evidence; protective strengths; no automated adverse decisions.</w:t>
            </w:r>
          </w:p>
        </w:tc>
        <w:tc>
          <w:tcPr>
            <w:tcW w:type="dxa" w:w="3160"/>
            <w:vAlign w:val="top"/>
            <w:tcMar>
              <w:top w:w="80" w:type="dxa"/>
              <w:bottom w:w="80" w:type="dxa"/>
              <w:start w:w="120" w:type="dxa"/>
              <w:end w:w="120" w:type="dxa"/>
            </w:tcMar>
          </w:tcPr>
          <w:p>
            <w:r>
              <w:rPr>
                <w:rFonts w:ascii="Calibri" w:hAnsi="Calibri"/>
                <w:b w:val="0"/>
                <w:color w:val="000000"/>
                <w:sz w:val="16"/>
              </w:rPr>
              <w:t>Bias testing, report QA, user comprehension, appeal and supervisor-review tests.</w:t>
            </w:r>
          </w:p>
        </w:tc>
      </w:tr>
      <w:tr>
        <w:trPr>
          <w:cantSplit/>
        </w:trPr>
        <w:tc>
          <w:tcPr>
            <w:tcW w:type="dxa" w:w="1900"/>
            <w:vAlign w:val="top"/>
            <w:tcMar>
              <w:top w:w="80" w:type="dxa"/>
              <w:bottom w:w="80" w:type="dxa"/>
              <w:start w:w="120" w:type="dxa"/>
              <w:end w:w="120" w:type="dxa"/>
            </w:tcMar>
          </w:tcPr>
          <w:p>
            <w:r>
              <w:rPr>
                <w:rFonts w:ascii="Calibri" w:hAnsi="Calibri"/>
                <w:b/>
                <w:color w:val="183B3A"/>
                <w:sz w:val="16"/>
              </w:rPr>
              <w:t>Professional governance</w:t>
            </w:r>
          </w:p>
        </w:tc>
        <w:tc>
          <w:tcPr>
            <w:tcW w:type="dxa" w:w="4300"/>
            <w:vAlign w:val="top"/>
            <w:tcMar>
              <w:top w:w="80" w:type="dxa"/>
              <w:bottom w:w="80" w:type="dxa"/>
              <w:start w:w="120" w:type="dxa"/>
              <w:end w:w="120" w:type="dxa"/>
            </w:tcMar>
          </w:tcPr>
          <w:p>
            <w:r>
              <w:rPr>
                <w:rFonts w:ascii="Calibri" w:hAnsi="Calibri"/>
                <w:b w:val="0"/>
                <w:color w:val="000000"/>
                <w:sz w:val="16"/>
              </w:rPr>
              <w:t>Credential, competence, scope, conflicts, signed disposition, second opinion and access expiry.</w:t>
            </w:r>
          </w:p>
        </w:tc>
        <w:tc>
          <w:tcPr>
            <w:tcW w:type="dxa" w:w="3160"/>
            <w:vAlign w:val="top"/>
            <w:tcMar>
              <w:top w:w="80" w:type="dxa"/>
              <w:bottom w:w="80" w:type="dxa"/>
              <w:start w:w="120" w:type="dxa"/>
              <w:end w:w="120" w:type="dxa"/>
            </w:tcMar>
          </w:tcPr>
          <w:p>
            <w:r>
              <w:rPr>
                <w:rFonts w:ascii="Calibri" w:hAnsi="Calibri"/>
                <w:b w:val="0"/>
                <w:color w:val="000000"/>
                <w:sz w:val="16"/>
              </w:rPr>
              <w:t>Registration checks, workflow validation, audit sampling and contract controls.</w:t>
            </w:r>
          </w:p>
        </w:tc>
      </w:tr>
    </w:tbl>
    <w:p>
      <w:pPr>
        <w:pStyle w:val="Heading1"/>
      </w:pPr>
      <w:r>
        <w:t>5. Verification and validation plan</w:t>
      </w:r>
    </w:p>
    <w:p>
      <w:pPr>
        <w:pStyle w:val="ListBullet"/>
      </w:pPr>
      <w:r>
        <w:t>Trace every risk control to a requirement, implementation item, test and retained result.</w:t>
      </w:r>
    </w:p>
    <w:p>
      <w:pPr>
        <w:pStyle w:val="ListBullet"/>
      </w:pPr>
      <w:r>
        <w:t>Use known-answer datasets for deterministic scoring and deliberately invalid, missing, contradictory and disputed cases.</w:t>
      </w:r>
    </w:p>
    <w:p>
      <w:pPr>
        <w:pStyle w:val="ListBullet"/>
      </w:pPr>
      <w:r>
        <w:t>Evaluate AI on unsupported claims, source accuracy, escalation recall, refusal behaviour, bias, prompt attacks and model/version drift.</w:t>
      </w:r>
    </w:p>
    <w:p>
      <w:pPr>
        <w:pStyle w:val="ListBullet"/>
      </w:pPr>
      <w:r>
        <w:t>Test with parents, children/young people through safe participation, carers and professionals across accessibility, literacy, culture, language, older devices and poor connectivity.</w:t>
      </w:r>
    </w:p>
    <w:p>
      <w:pPr>
        <w:pStyle w:val="ListBullet"/>
      </w:pPr>
      <w:r>
        <w:t>Conduct independent penetration testing and role/access reviews before handling live sensitive data.</w:t>
      </w:r>
    </w:p>
    <w:p>
      <w:pPr>
        <w:pStyle w:val="ListBullet"/>
      </w:pPr>
      <w:r>
        <w:t>Pilot under ethics and governance where required; define stop criteria, adverse-event handling and independent oversight.</w:t>
      </w:r>
    </w:p>
    <w:p>
      <w:pPr>
        <w:pStyle w:val="Heading1"/>
      </w:pPr>
      <w:r>
        <w:t>6. Incident, complaint and safety signal response</w:t>
      </w:r>
    </w:p>
    <w:p>
      <w:pPr>
        <w:pStyle w:val="ListNumber"/>
      </w:pPr>
      <w:r>
        <w:t>Make the user safe: direct urgent support, restrict unsafe disclosure and preserve access to essential information.</w:t>
      </w:r>
    </w:p>
    <w:p>
      <w:pPr>
        <w:pStyle w:val="ListNumber"/>
      </w:pPr>
      <w:r>
        <w:t>Contain the product: disable the affected feature, model, instrument, sharing route or integration without erasing evidence.</w:t>
      </w:r>
    </w:p>
    <w:p>
      <w:pPr>
        <w:pStyle w:val="ListNumber"/>
      </w:pPr>
      <w:r>
        <w:t>Preserve evidence: logs, versions, prompts, outputs, sources, access, timestamps and affected configuration.</w:t>
      </w:r>
    </w:p>
    <w:p>
      <w:pPr>
        <w:pStyle w:val="ListNumber"/>
      </w:pPr>
      <w:r>
        <w:t>Assess severity, affected users, reportability, privacy/child-safety notification and need for professional outreach.</w:t>
      </w:r>
    </w:p>
    <w:p>
      <w:pPr>
        <w:pStyle w:val="ListNumber"/>
      </w:pPr>
      <w:r>
        <w:t>Correct and verify: root cause, risk update, design/test change, independent review and controlled redeployment.</w:t>
      </w:r>
    </w:p>
    <w:p>
      <w:pPr>
        <w:pStyle w:val="ListNumber"/>
      </w:pPr>
      <w:r>
        <w:t>Communicate transparently with affected families and authorised parties; preserve corrections, disputes and prior versions.</w:t>
      </w:r>
    </w:p>
    <w:p>
      <w:pPr>
        <w:pStyle w:val="ListNumber"/>
      </w:pPr>
      <w:r>
        <w:t>Monitor recurrence and close only with accountable safety-owner approval.</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Mar>
              <w:top w:w="80" w:type="dxa"/>
              <w:bottom w:w="80" w:type="dxa"/>
              <w:start w:w="120" w:type="dxa"/>
              <w:end w:w="120" w:type="dxa"/>
            </w:tcMar>
            <w:shd w:fill="FCE8E6"/>
          </w:tcPr>
          <w:p>
            <w:r>
              <w:rPr>
                <w:rFonts w:ascii="Calibri" w:hAnsi="Calibri"/>
                <w:b/>
                <w:color w:val="7A1616"/>
                <w:sz w:val="22"/>
              </w:rPr>
              <w:t xml:space="preserve">Immediate suspension triggers  </w:t>
            </w:r>
            <w:r>
              <w:rPr>
                <w:rFonts w:ascii="Calibri" w:hAnsi="Calibri"/>
                <w:color w:val="7A1616"/>
                <w:sz w:val="22"/>
              </w:rPr>
              <w:t>Possible death/serious injury, missed child or DFV danger, systematic wrong scoring, unauthorised child/health data exposure, fabricated evidence used in a decision, broken access controls, or an unapproved diagnostic/predictive function.</w:t>
            </w:r>
          </w:p>
        </w:tc>
      </w:tr>
    </w:tbl>
    <w:p>
      <w:pPr>
        <w:spacing w:after="0"/>
      </w:pPr>
    </w:p>
    <w:p>
      <w:pPr>
        <w:pStyle w:val="Heading1"/>
      </w:pPr>
      <w:r>
        <w:t>7. Post-market and operational monitoring</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trPr>
        <w:tc>
          <w:tcPr>
            <w:tcW w:type="dxa" w:w="1900"/>
            <w:vAlign w:val="top"/>
            <w:tcMar>
              <w:top w:w="80" w:type="dxa"/>
              <w:bottom w:w="80" w:type="dxa"/>
              <w:start w:w="120" w:type="dxa"/>
              <w:end w:w="120" w:type="dxa"/>
            </w:tcMar>
            <w:shd w:fill="2E746E"/>
          </w:tcPr>
          <w:p>
            <w:r>
              <w:rPr>
                <w:rFonts w:ascii="Calibri" w:hAnsi="Calibri"/>
                <w:b/>
                <w:color w:val="FFFFFF"/>
                <w:sz w:val="18"/>
              </w:rPr>
              <w:t>Signal</w:t>
            </w:r>
          </w:p>
        </w:tc>
        <w:tc>
          <w:tcPr>
            <w:tcW w:type="dxa" w:w="7460"/>
            <w:vAlign w:val="top"/>
            <w:tcMar>
              <w:top w:w="80" w:type="dxa"/>
              <w:bottom w:w="80" w:type="dxa"/>
              <w:start w:w="120" w:type="dxa"/>
              <w:end w:w="120" w:type="dxa"/>
            </w:tcMar>
            <w:shd w:fill="2E746E"/>
          </w:tcPr>
          <w:p>
            <w:r>
              <w:rPr>
                <w:rFonts w:ascii="Calibri" w:hAnsi="Calibri"/>
                <w:b/>
                <w:color w:val="FFFFFF"/>
                <w:sz w:val="18"/>
              </w:rPr>
              <w:t>Minimum monitoring</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Clinical safety</w:t>
            </w:r>
          </w:p>
        </w:tc>
        <w:tc>
          <w:tcPr>
            <w:tcW w:type="dxa" w:w="7460"/>
            <w:vAlign w:val="top"/>
            <w:tcMar>
              <w:top w:w="80" w:type="dxa"/>
              <w:bottom w:w="80" w:type="dxa"/>
              <w:start w:w="120" w:type="dxa"/>
              <w:end w:w="120" w:type="dxa"/>
            </w:tcMar>
          </w:tcPr>
          <w:p>
            <w:r>
              <w:rPr>
                <w:rFonts w:ascii="Calibri" w:hAnsi="Calibri"/>
                <w:b w:val="0"/>
                <w:color w:val="000000"/>
                <w:sz w:val="17"/>
              </w:rPr>
              <w:t>False negatives/positives, urgent escalations, delayed help, professional rejection/override and adverse outcomes.</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AI performance</w:t>
            </w:r>
          </w:p>
        </w:tc>
        <w:tc>
          <w:tcPr>
            <w:tcW w:type="dxa" w:w="7460"/>
            <w:vAlign w:val="top"/>
            <w:tcMar>
              <w:top w:w="80" w:type="dxa"/>
              <w:bottom w:w="80" w:type="dxa"/>
              <w:start w:w="120" w:type="dxa"/>
              <w:end w:w="120" w:type="dxa"/>
            </w:tcMar>
          </w:tcPr>
          <w:p>
            <w:r>
              <w:rPr>
                <w:rFonts w:ascii="Calibri" w:hAnsi="Calibri"/>
                <w:b w:val="0"/>
                <w:color w:val="000000"/>
                <w:sz w:val="17"/>
              </w:rPr>
              <w:t>Unsupported claims, citation accuracy, refusal failures, drift, subgroup differences and model/prompt changes.</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Child/DFV safety</w:t>
            </w:r>
          </w:p>
        </w:tc>
        <w:tc>
          <w:tcPr>
            <w:tcW w:type="dxa" w:w="7460"/>
            <w:vAlign w:val="top"/>
            <w:tcMar>
              <w:top w:w="80" w:type="dxa"/>
              <w:bottom w:w="80" w:type="dxa"/>
              <w:start w:w="120" w:type="dxa"/>
              <w:end w:w="120" w:type="dxa"/>
            </w:tcMar>
          </w:tcPr>
          <w:p>
            <w:r>
              <w:rPr>
                <w:rFonts w:ascii="Calibri" w:hAnsi="Calibri"/>
                <w:b w:val="0"/>
                <w:color w:val="000000"/>
                <w:sz w:val="17"/>
              </w:rPr>
              <w:t>Unsafe notifications, disclosure events, quick-exit failures, emergency sharing and safeguarding response times.</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Security/privacy</w:t>
            </w:r>
          </w:p>
        </w:tc>
        <w:tc>
          <w:tcPr>
            <w:tcW w:type="dxa" w:w="7460"/>
            <w:vAlign w:val="top"/>
            <w:tcMar>
              <w:top w:w="80" w:type="dxa"/>
              <w:bottom w:w="80" w:type="dxa"/>
              <w:start w:w="120" w:type="dxa"/>
              <w:end w:w="120" w:type="dxa"/>
            </w:tcMar>
          </w:tcPr>
          <w:p>
            <w:r>
              <w:rPr>
                <w:rFonts w:ascii="Calibri" w:hAnsi="Calibri"/>
                <w:b w:val="0"/>
                <w:color w:val="000000"/>
                <w:sz w:val="17"/>
              </w:rPr>
              <w:t>Unauthorised access, denied attempts, abnormal downloads, supplier events, deletion failures and vulnerabilities.</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Fairness</w:t>
            </w:r>
          </w:p>
        </w:tc>
        <w:tc>
          <w:tcPr>
            <w:tcW w:type="dxa" w:w="7460"/>
            <w:vAlign w:val="top"/>
            <w:tcMar>
              <w:top w:w="80" w:type="dxa"/>
              <w:bottom w:w="80" w:type="dxa"/>
              <w:start w:w="120" w:type="dxa"/>
              <w:end w:w="120" w:type="dxa"/>
            </w:tcMar>
          </w:tcPr>
          <w:p>
            <w:r>
              <w:rPr>
                <w:rFonts w:ascii="Calibri" w:hAnsi="Calibri"/>
                <w:b w:val="0"/>
                <w:color w:val="000000"/>
                <w:sz w:val="17"/>
              </w:rPr>
              <w:t>Outcomes and error patterns by relevant subgroup; disputes, corrections, adverse case use and unmet adjustments.</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Reliability</w:t>
            </w:r>
          </w:p>
        </w:tc>
        <w:tc>
          <w:tcPr>
            <w:tcW w:type="dxa" w:w="7460"/>
            <w:vAlign w:val="top"/>
            <w:tcMar>
              <w:top w:w="80" w:type="dxa"/>
              <w:bottom w:w="80" w:type="dxa"/>
              <w:start w:w="120" w:type="dxa"/>
              <w:end w:w="120" w:type="dxa"/>
            </w:tcMar>
          </w:tcPr>
          <w:p>
            <w:r>
              <w:rPr>
                <w:rFonts w:ascii="Calibri" w:hAnsi="Calibri"/>
                <w:b w:val="0"/>
                <w:color w:val="000000"/>
                <w:sz w:val="17"/>
              </w:rPr>
              <w:t>Offline conflicts, sync loss, stale data, notification delivery, uptime, recovery objectives and backup restoration.</w:t>
            </w:r>
          </w:p>
        </w:tc>
      </w:tr>
      <w:tr>
        <w:trPr>
          <w:cantSplit/>
        </w:trPr>
        <w:tc>
          <w:tcPr>
            <w:tcW w:type="dxa" w:w="1900"/>
            <w:vAlign w:val="top"/>
            <w:tcMar>
              <w:top w:w="80" w:type="dxa"/>
              <w:bottom w:w="80" w:type="dxa"/>
              <w:start w:w="120" w:type="dxa"/>
              <w:end w:w="120" w:type="dxa"/>
            </w:tcMar>
          </w:tcPr>
          <w:p>
            <w:r>
              <w:rPr>
                <w:rFonts w:ascii="Calibri" w:hAnsi="Calibri"/>
                <w:b/>
                <w:color w:val="183B3A"/>
                <w:sz w:val="17"/>
              </w:rPr>
              <w:t>Governance</w:t>
            </w:r>
          </w:p>
        </w:tc>
        <w:tc>
          <w:tcPr>
            <w:tcW w:type="dxa" w:w="7460"/>
            <w:vAlign w:val="top"/>
            <w:tcMar>
              <w:top w:w="80" w:type="dxa"/>
              <w:bottom w:w="80" w:type="dxa"/>
              <w:start w:w="120" w:type="dxa"/>
              <w:end w:w="120" w:type="dxa"/>
            </w:tcMar>
          </w:tcPr>
          <w:p>
            <w:r>
              <w:rPr>
                <w:rFonts w:ascii="Calibri" w:hAnsi="Calibri"/>
                <w:b w:val="0"/>
                <w:color w:val="000000"/>
                <w:sz w:val="17"/>
              </w:rPr>
              <w:t>Expired roles/licences/registrations, overdue reviews, unapproved claims and unresolved high risks.</w:t>
            </w:r>
          </w:p>
        </w:tc>
      </w:tr>
    </w:tbl>
    <w:p>
      <w:pPr>
        <w:pStyle w:val="Heading1"/>
      </w:pPr>
      <w:r>
        <w:t>8. Safety file completion checklist</w:t>
      </w:r>
    </w:p>
    <w:p>
      <w:pPr>
        <w:pStyle w:val="ListBullet"/>
      </w:pPr>
      <w:r>
        <w:t>Named legal manufacturer/sponsor and accountable safety, clinical, privacy, security and child-safeguarding owners.</w:t>
      </w:r>
    </w:p>
    <w:p>
      <w:pPr>
        <w:pStyle w:val="ListBullet"/>
      </w:pPr>
      <w:r>
        <w:t>Confirmed device boundary, classification/exclusion/exemption and applicable conformity pathway.</w:t>
      </w:r>
    </w:p>
    <w:p>
      <w:pPr>
        <w:pStyle w:val="ListBullet"/>
      </w:pPr>
      <w:r>
        <w:t>Approved intended purpose, instrument dossiers, architecture/data flows, supplier register and software bill of materials.</w:t>
      </w:r>
    </w:p>
    <w:p>
      <w:pPr>
        <w:pStyle w:val="ListBullet"/>
      </w:pPr>
      <w:r>
        <w:t>Risk-benefit evaluation, residual-risk acceptability, clinical evaluation, usability, cybersecurity and privacy/child-rights assessments.</w:t>
      </w:r>
    </w:p>
    <w:p>
      <w:pPr>
        <w:pStyle w:val="ListBullet"/>
      </w:pPr>
      <w:r>
        <w:t>Signed verification/validation reports, pilot results, release approval, labelling/instructions and professional/user training.</w:t>
      </w:r>
    </w:p>
    <w:p>
      <w:pPr>
        <w:pStyle w:val="ListBullet"/>
      </w:pPr>
      <w:r>
        <w:t>Complaint, adverse-event, vulnerability, recall/correction and post-market surveillance procedures.</w:t>
      </w:r>
    </w:p>
    <w:p>
      <w:pPr>
        <w:pStyle w:val="Heading1"/>
      </w:pPr>
      <w:r>
        <w:t>Appendix A - Official Australian references</w:t>
      </w:r>
    </w:p>
    <w:p>
      <w:r>
        <w:rPr>
          <w:rFonts w:ascii="Calibri" w:hAnsi="Calibri"/>
          <w:b/>
          <w:color w:val="183B3A"/>
          <w:sz w:val="18"/>
        </w:rPr>
        <w:t xml:space="preserve">TGA Essential Principles: </w:t>
      </w:r>
      <w:hyperlink r:id="rId11">
        <w:r>
          <w:rPr>
            <w:color w:val="2E746E"/>
            <w:u w:val="single"/>
          </w:rPr>
          <w:t>https://www.tga.gov.au/resources/guidance/complying-essential-principles-safety-and-performance-medical-devices</w:t>
        </w:r>
      </w:hyperlink>
    </w:p>
    <w:p>
      <w:r>
        <w:rPr>
          <w:rFonts w:ascii="Calibri" w:hAnsi="Calibri"/>
          <w:b/>
          <w:color w:val="183B3A"/>
          <w:sz w:val="18"/>
        </w:rPr>
        <w:t xml:space="preserve">TGA software-based medical devices: </w:t>
      </w:r>
      <w:hyperlink r:id="rId12">
        <w:r>
          <w:rPr>
            <w:color w:val="2E746E"/>
            <w:u w:val="single"/>
          </w:rPr>
          <w:t>https://www.tga.gov.au/resources/guidance/understanding-how-we-regulate-software-based-medical-devices</w:t>
        </w:r>
      </w:hyperlink>
    </w:p>
    <w:p>
      <w:r>
        <w:rPr>
          <w:rFonts w:ascii="Calibri" w:hAnsi="Calibri"/>
          <w:b/>
          <w:color w:val="183B3A"/>
          <w:sz w:val="18"/>
        </w:rPr>
        <w:t xml:space="preserve">TGA AI evidence requirements: </w:t>
      </w:r>
      <w:hyperlink r:id="rId13">
        <w:r>
          <w:rPr>
            <w:color w:val="2E746E"/>
            <w:u w:val="single"/>
          </w:rPr>
          <w:t>https://www.tga.gov.au/products/medical-devices/software-and-artificial-intelligence-ai/manufacturing/artificial-intelligence-ai-and-medical-device-software-regulation/evidence-requirements-software-using-ai</w:t>
        </w:r>
      </w:hyperlink>
    </w:p>
    <w:p>
      <w:r>
        <w:rPr>
          <w:rFonts w:ascii="Calibri" w:hAnsi="Calibri"/>
          <w:b/>
          <w:color w:val="183B3A"/>
          <w:sz w:val="18"/>
        </w:rPr>
        <w:t xml:space="preserve">TGA medical-device cybersecurity: </w:t>
      </w:r>
      <w:hyperlink r:id="rId14">
        <w:r>
          <w:rPr>
            <w:color w:val="2E746E"/>
            <w:u w:val="single"/>
          </w:rPr>
          <w:t>https://www.tga.gov.au/resources/guidance/complying-medical-device-cyber-security-requirements</w:t>
        </w:r>
      </w:hyperlink>
    </w:p>
    <w:p>
      <w:r>
        <w:rPr>
          <w:rFonts w:ascii="Calibri" w:hAnsi="Calibri"/>
          <w:b/>
          <w:color w:val="183B3A"/>
          <w:sz w:val="18"/>
        </w:rPr>
        <w:t xml:space="preserve">OAIC privacy impact assessments: </w:t>
      </w:r>
      <w:hyperlink r:id="rId15">
        <w:r>
          <w:rPr>
            <w:color w:val="2E746E"/>
            <w:u w:val="single"/>
          </w:rPr>
          <w:t>https://www.oaic.gov.au/privacy/privacy-guidance-for-organisations-and-government-agencies/privacy-impact-assessments/guide-to-undertaking-privacy-impact-assessments</w:t>
        </w:r>
      </w:hyperlink>
    </w:p>
    <w:p>
      <w:r>
        <w:rPr>
          <w:rFonts w:ascii="Calibri" w:hAnsi="Calibri"/>
          <w:b/>
          <w:color w:val="183B3A"/>
          <w:sz w:val="18"/>
        </w:rPr>
        <w:t xml:space="preserve">OAIC commercially available AI privacy guidance: </w:t>
      </w:r>
      <w:hyperlink r:id="rId16">
        <w:r>
          <w:rPr>
            <w:color w:val="2E746E"/>
            <w:u w:val="single"/>
          </w:rPr>
          <w:t>https://www.oaic.gov.au/privacy/privacy-guidance-for-organisations-and-government-agencies/guidance-on-privacy-and-the-use-of-commercially-available-ai-products</w:t>
        </w:r>
      </w:hyperlink>
    </w:p>
    <w:p>
      <w:r>
        <w:rPr>
          <w:rFonts w:ascii="Calibri" w:hAnsi="Calibri"/>
          <w:b/>
          <w:color w:val="183B3A"/>
          <w:sz w:val="18"/>
        </w:rPr>
        <w:t xml:space="preserve">OAIC children and young people: </w:t>
      </w:r>
      <w:hyperlink r:id="rId17">
        <w:r>
          <w:rPr>
            <w:color w:val="2E746E"/>
            <w:u w:val="single"/>
          </w:rPr>
          <w:t>https://www.oaic.gov.au/privacy/your-privacy-rights/more-privacy-rights/children-and-young-people</w:t>
        </w:r>
      </w:hyperlink>
    </w:p>
    <w:p>
      <w:r>
        <w:rPr>
          <w:rFonts w:ascii="Calibri" w:hAnsi="Calibri"/>
          <w:b/>
          <w:color w:val="183B3A"/>
          <w:sz w:val="18"/>
        </w:rPr>
        <w:t xml:space="preserve">Document control: </w:t>
      </w:r>
      <w:r>
        <w:rPr>
          <w:rFonts w:ascii="Calibri" w:hAnsi="Calibri"/>
          <w:color w:val="5D6665"/>
          <w:sz w:val="18"/>
        </w:rPr>
        <w:t>Version 1.0 | Pre-market draft | Prepared 29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66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SafeSteps | Clinical Risk Management and Safety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6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B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D666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ga.gov.au/resources/guidance/complying-essential-principles-safety-and-performance-medical-devices" TargetMode="External"/><Relationship Id="rId12" Type="http://schemas.openxmlformats.org/officeDocument/2006/relationships/hyperlink" Target="https://www.tga.gov.au/resources/guidance/understanding-how-we-regulate-software-based-medical-devices" TargetMode="External"/><Relationship Id="rId13" Type="http://schemas.openxmlformats.org/officeDocument/2006/relationships/hyperlink" Target="https://www.tga.gov.au/products/medical-devices/software-and-artificial-intelligence-ai/manufacturing/artificial-intelligence-ai-and-medical-device-software-regulation/evidence-requirements-software-using-ai" TargetMode="External"/><Relationship Id="rId14" Type="http://schemas.openxmlformats.org/officeDocument/2006/relationships/hyperlink" Target="https://www.tga.gov.au/resources/guidance/complying-medical-device-cyber-security-requirements" TargetMode="External"/><Relationship Id="rId15" Type="http://schemas.openxmlformats.org/officeDocument/2006/relationships/hyperlink" Target="https://www.oaic.gov.au/privacy/privacy-guidance-for-organisations-and-government-agencies/privacy-impact-assessments/guide-to-undertaking-privacy-impact-assessments" TargetMode="External"/><Relationship Id="rId16" Type="http://schemas.openxmlformats.org/officeDocument/2006/relationships/hyperlink" Target="https://www.oaic.gov.au/privacy/privacy-guidance-for-organisations-and-government-agencies/guidance-on-privacy-and-the-use-of-commercially-available-ai-products" TargetMode="External"/><Relationship Id="rId17" Type="http://schemas.openxmlformats.org/officeDocument/2006/relationships/hyperlink" Target="https://www.oaic.gov.au/privacy/your-privacy-rights/more-privacy-rights/children-and-young-peo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SafeSteps Clinical Risk Management and Safety File</dc:title>
  <dc:subject/>
  <dc:creator>SafeSteps</dc:creator>
  <cp:keywords/>
  <dc:description>generated by python-docx</dc:description>
  <cp:lastModifiedBy/>
  <cp:revision>1</cp:revision>
  <dcterms:created xsi:type="dcterms:W3CDTF">2013-12-23T23:15:00Z</dcterms:created>
  <dcterms:modified xsi:type="dcterms:W3CDTF">2013-12-23T23:15:00Z</dcterms:modified>
  <cp:category/>
</cp:coreProperties>
</file>