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D5A928"/>
          <w:sz w:val="20"/>
        </w:rPr>
        <w:t>SAFESTEPS PRODUCT GOVERNANCE</w:t>
      </w:r>
    </w:p>
    <w:p>
      <w:pPr>
        <w:pStyle w:val="Title"/>
      </w:pPr>
      <w:r>
        <w:t>Intended Purpose, Module Boundary and Claims Register</w:t>
      </w:r>
    </w:p>
    <w:p>
      <w:pPr>
        <w:pStyle w:val="Subtitle"/>
      </w:pPr>
      <w:r>
        <w:t>Controlled draft for Australian regulatory enquiry, product design and communications review</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trPr>
        <w:tc>
          <w:tcPr>
            <w:tcW w:type="dxa" w:w="2500"/>
            <w:vAlign w:val="top"/>
            <w:tcMar>
              <w:top w:w="80" w:type="dxa"/>
              <w:bottom w:w="80" w:type="dxa"/>
              <w:start w:w="120" w:type="dxa"/>
              <w:end w:w="120" w:type="dxa"/>
            </w:tcMar>
            <w:shd w:fill="2E746E"/>
          </w:tcPr>
          <w:p>
            <w:r>
              <w:rPr>
                <w:rFonts w:ascii="Calibri" w:hAnsi="Calibri"/>
                <w:b/>
                <w:color w:val="FFFFFF"/>
                <w:sz w:val="18"/>
              </w:rPr>
              <w:t>Control</w:t>
            </w:r>
          </w:p>
        </w:tc>
        <w:tc>
          <w:tcPr>
            <w:tcW w:type="dxa" w:w="6860"/>
            <w:vAlign w:val="top"/>
            <w:tcMar>
              <w:top w:w="80" w:type="dxa"/>
              <w:bottom w:w="80" w:type="dxa"/>
              <w:start w:w="120" w:type="dxa"/>
              <w:end w:w="120" w:type="dxa"/>
            </w:tcMar>
            <w:shd w:fill="2E746E"/>
          </w:tcPr>
          <w:p>
            <w:r>
              <w:rPr>
                <w:rFonts w:ascii="Calibri" w:hAnsi="Calibri"/>
                <w:b/>
                <w:color w:val="FFFFFF"/>
                <w:sz w:val="18"/>
              </w:rPr>
              <w:t>Current value</w:t>
            </w:r>
          </w:p>
        </w:tc>
      </w:tr>
      <w:tr>
        <w:trPr>
          <w:cantSplit/>
        </w:trPr>
        <w:tc>
          <w:tcPr>
            <w:tcW w:type="dxa" w:w="2500"/>
            <w:vAlign w:val="top"/>
            <w:tcMar>
              <w:top w:w="80" w:type="dxa"/>
              <w:bottom w:w="80" w:type="dxa"/>
              <w:start w:w="120" w:type="dxa"/>
              <w:end w:w="120" w:type="dxa"/>
            </w:tcMar>
          </w:tcPr>
          <w:p>
            <w:r>
              <w:rPr>
                <w:rFonts w:ascii="Calibri" w:hAnsi="Calibri"/>
                <w:b/>
                <w:color w:val="183B3A"/>
                <w:sz w:val="19"/>
              </w:rPr>
              <w:t>Document owner</w:t>
            </w:r>
          </w:p>
        </w:tc>
        <w:tc>
          <w:tcPr>
            <w:tcW w:type="dxa" w:w="6860"/>
            <w:vAlign w:val="top"/>
            <w:tcMar>
              <w:top w:w="80" w:type="dxa"/>
              <w:bottom w:w="80" w:type="dxa"/>
              <w:start w:w="120" w:type="dxa"/>
              <w:end w:w="120" w:type="dxa"/>
            </w:tcMar>
          </w:tcPr>
          <w:p>
            <w:r>
              <w:rPr>
                <w:rFonts w:ascii="Calibri" w:hAnsi="Calibri"/>
                <w:b w:val="0"/>
                <w:color w:val="000000"/>
                <w:sz w:val="19"/>
              </w:rPr>
              <w:t>Katrina Watts, SafeSteps</w:t>
            </w:r>
          </w:p>
        </w:tc>
      </w:tr>
      <w:tr>
        <w:trPr>
          <w:cantSplit/>
        </w:trPr>
        <w:tc>
          <w:tcPr>
            <w:tcW w:type="dxa" w:w="2500"/>
            <w:vAlign w:val="top"/>
            <w:tcMar>
              <w:top w:w="80" w:type="dxa"/>
              <w:bottom w:w="80" w:type="dxa"/>
              <w:start w:w="120" w:type="dxa"/>
              <w:end w:w="120" w:type="dxa"/>
            </w:tcMar>
          </w:tcPr>
          <w:p>
            <w:r>
              <w:rPr>
                <w:rFonts w:ascii="Calibri" w:hAnsi="Calibri"/>
                <w:b/>
                <w:color w:val="183B3A"/>
                <w:sz w:val="19"/>
              </w:rPr>
              <w:t>Version/date</w:t>
            </w:r>
          </w:p>
        </w:tc>
        <w:tc>
          <w:tcPr>
            <w:tcW w:type="dxa" w:w="6860"/>
            <w:vAlign w:val="top"/>
            <w:tcMar>
              <w:top w:w="80" w:type="dxa"/>
              <w:bottom w:w="80" w:type="dxa"/>
              <w:start w:w="120" w:type="dxa"/>
              <w:end w:w="120" w:type="dxa"/>
            </w:tcMar>
          </w:tcPr>
          <w:p>
            <w:r>
              <w:rPr>
                <w:rFonts w:ascii="Calibri" w:hAnsi="Calibri"/>
                <w:b w:val="0"/>
                <w:color w:val="000000"/>
                <w:sz w:val="19"/>
              </w:rPr>
              <w:t>Version 1.0 | 29 August 2026</w:t>
            </w:r>
          </w:p>
        </w:tc>
      </w:tr>
      <w:tr>
        <w:trPr>
          <w:cantSplit/>
        </w:trPr>
        <w:tc>
          <w:tcPr>
            <w:tcW w:type="dxa" w:w="2500"/>
            <w:vAlign w:val="top"/>
            <w:tcMar>
              <w:top w:w="80" w:type="dxa"/>
              <w:bottom w:w="80" w:type="dxa"/>
              <w:start w:w="120" w:type="dxa"/>
              <w:end w:w="120" w:type="dxa"/>
            </w:tcMar>
          </w:tcPr>
          <w:p>
            <w:r>
              <w:rPr>
                <w:rFonts w:ascii="Calibri" w:hAnsi="Calibri"/>
                <w:b/>
                <w:color w:val="183B3A"/>
                <w:sz w:val="19"/>
              </w:rPr>
              <w:t>Status</w:t>
            </w:r>
          </w:p>
        </w:tc>
        <w:tc>
          <w:tcPr>
            <w:tcW w:type="dxa" w:w="6860"/>
            <w:vAlign w:val="top"/>
            <w:tcMar>
              <w:top w:w="80" w:type="dxa"/>
              <w:bottom w:w="80" w:type="dxa"/>
              <w:start w:w="120" w:type="dxa"/>
              <w:end w:w="120" w:type="dxa"/>
            </w:tcMar>
          </w:tcPr>
          <w:p>
            <w:r>
              <w:rPr>
                <w:rFonts w:ascii="Calibri" w:hAnsi="Calibri"/>
                <w:b w:val="0"/>
                <w:color w:val="000000"/>
                <w:sz w:val="19"/>
              </w:rPr>
              <w:t>DRAFT - NOT REGULATORY APPROVAL</w:t>
            </w:r>
          </w:p>
        </w:tc>
      </w:tr>
      <w:tr>
        <w:trPr>
          <w:cantSplit/>
        </w:trPr>
        <w:tc>
          <w:tcPr>
            <w:tcW w:type="dxa" w:w="2500"/>
            <w:vAlign w:val="top"/>
            <w:tcMar>
              <w:top w:w="80" w:type="dxa"/>
              <w:bottom w:w="80" w:type="dxa"/>
              <w:start w:w="120" w:type="dxa"/>
              <w:end w:w="120" w:type="dxa"/>
            </w:tcMar>
          </w:tcPr>
          <w:p>
            <w:r>
              <w:rPr>
                <w:rFonts w:ascii="Calibri" w:hAnsi="Calibri"/>
                <w:b/>
                <w:color w:val="183B3A"/>
                <w:sz w:val="19"/>
              </w:rPr>
              <w:t>Review trigger</w:t>
            </w:r>
          </w:p>
        </w:tc>
        <w:tc>
          <w:tcPr>
            <w:tcW w:type="dxa" w:w="6860"/>
            <w:vAlign w:val="top"/>
            <w:tcMar>
              <w:top w:w="80" w:type="dxa"/>
              <w:bottom w:w="80" w:type="dxa"/>
              <w:start w:w="120" w:type="dxa"/>
              <w:end w:w="120" w:type="dxa"/>
            </w:tcMar>
          </w:tcPr>
          <w:p>
            <w:r>
              <w:rPr>
                <w:rFonts w:ascii="Calibri" w:hAnsi="Calibri"/>
                <w:b w:val="0"/>
                <w:color w:val="000000"/>
                <w:sz w:val="19"/>
              </w:rPr>
              <w:t>Any change to function, user, population, output, claim, AI model or professional workflow</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bottom w:w="80" w:type="dxa"/>
              <w:start w:w="120" w:type="dxa"/>
              <w:end w:w="120" w:type="dxa"/>
            </w:tcMar>
            <w:shd w:fill="EAF4F1"/>
          </w:tcPr>
          <w:p>
            <w:r>
              <w:rPr>
                <w:rFonts w:ascii="Calibri" w:hAnsi="Calibri"/>
                <w:b/>
                <w:color w:val="183B3A"/>
                <w:sz w:val="22"/>
              </w:rPr>
              <w:t xml:space="preserve">Controlling product position  </w:t>
            </w:r>
            <w:r>
              <w:rPr>
                <w:rFonts w:ascii="Calibri" w:hAnsi="Calibri"/>
                <w:color w:val="183B3A"/>
                <w:sz w:val="22"/>
              </w:rPr>
              <w:t>SafeSteps may administer governed preliminary screening and organise source-linked assessment-support information. SafeSteps does not diagnose, make a forensic finding, recommend clinical treatment, sign a professional opinion, or decide removal, reunification, contact, culpability or legal fact. Only an appropriately registered and competent professional may independently assess the material and author their own signed opinion within scope.</w:t>
            </w:r>
          </w:p>
        </w:tc>
      </w:tr>
    </w:tbl>
    <w:p>
      <w:pPr>
        <w:spacing w:after="0"/>
      </w:pPr>
    </w:p>
    <w:p>
      <w:pPr>
        <w:pStyle w:val="Heading1"/>
      </w:pPr>
      <w:r>
        <w:t>1. Purpose of this register</w:t>
      </w:r>
    </w:p>
    <w:p>
      <w:r>
        <w:t>This register controls the intended purpose and permitted claims for each SafeSteps module. It is designed to prevent general family-support functions from silently expanding into medical, clinical, forensic or legal decision-making. It is a working governance document for TGA engagement and does not determine classification or confer approval.</w:t>
      </w:r>
    </w:p>
    <w:p>
      <w:pPr>
        <w:pStyle w:val="ListBullet"/>
      </w:pPr>
      <w:r>
        <w:t>Use it when writing product requirements, screens, reports, app-store text, websites, training and contracts.</w:t>
      </w:r>
    </w:p>
    <w:p>
      <w:pPr>
        <w:pStyle w:val="ListBullet"/>
      </w:pPr>
      <w:r>
        <w:t>Review every proposed feature against the module boundary before development or release.</w:t>
      </w:r>
    </w:p>
    <w:p>
      <w:pPr>
        <w:pStyle w:val="ListBullet"/>
      </w:pPr>
      <w:r>
        <w:t>Retain prior versions and record the evidence and authority supporting every approved claim.</w:t>
      </w:r>
    </w:p>
    <w:p>
      <w:pPr>
        <w:pStyle w:val="ListBullet"/>
      </w:pPr>
      <w:r>
        <w:t>Escalate uncertain medical-device, privacy, child-safety, professional-scope and legal questions before release.</w:t>
      </w:r>
    </w:p>
    <w:p>
      <w:pPr>
        <w:pStyle w:val="Heading1"/>
      </w:pPr>
      <w:r>
        <w:t>2. Controlled intended-purpose statement</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bottom w:w="80" w:type="dxa"/>
              <w:start w:w="120" w:type="dxa"/>
              <w:end w:w="120" w:type="dxa"/>
            </w:tcMar>
            <w:shd w:fill="EAF4F1"/>
          </w:tcPr>
          <w:p>
            <w:r>
              <w:rPr>
                <w:rFonts w:ascii="Calibri" w:hAnsi="Calibri"/>
                <w:b/>
                <w:color w:val="183B3A"/>
                <w:sz w:val="22"/>
              </w:rPr>
              <w:t xml:space="preserve">Draft intended purpose  </w:t>
            </w:r>
            <w:r>
              <w:rPr>
                <w:rFonts w:ascii="Calibri" w:hAnsi="Calibri"/>
                <w:color w:val="183B3A"/>
                <w:sz w:val="22"/>
              </w:rPr>
              <w:t>SafeSteps is an Australia-wide family-support web and mobile platform intended to help parents, children and authorised participants complete structured learning, record goals and progress, organise source-linked information, coordinate support, and communicate within governed permissions. A separately controlled assessment-support module may administer appropriately licensed preliminary screening instruments, apply the authorised deterministic scoring method, display transparent results and prepare an unreviewed source-linked bundle that a user may choose, or a lawfully authorised party may request, to have independently reviewed by an appropriately registered and competent professional. System outputs remain preliminary and non-diagnostic unless a practitioner independently authors and signs a separate professional conclusion.</w:t>
            </w:r>
          </w:p>
        </w:tc>
      </w:tr>
    </w:tbl>
    <w:p>
      <w:pPr>
        <w:spacing w:after="0"/>
      </w:pPr>
    </w:p>
    <w:p>
      <w:pPr>
        <w:pStyle w:val="Heading2"/>
      </w:pPr>
      <w:r>
        <w:t>2.1 Intended users and settings</w:t>
      </w:r>
    </w:p>
    <w:p>
      <w:pPr>
        <w:pStyle w:val="ListBullet"/>
      </w:pPr>
      <w:r>
        <w:t>Parents and adult family members using voluntary family-support, education and preliminary self-report functions.</w:t>
      </w:r>
    </w:p>
    <w:p>
      <w:pPr>
        <w:pStyle w:val="ListBullet"/>
      </w:pPr>
      <w:r>
        <w:t>Children only through an age-, ability-, authority-, consent- and assent-appropriate experience with child-safety safeguards.</w:t>
      </w:r>
    </w:p>
    <w:p>
      <w:pPr>
        <w:pStyle w:val="ListBullet"/>
      </w:pPr>
      <w:r>
        <w:t>Authorised carers recording dated observations, including strengths and concerns, within approved access boundaries.</w:t>
      </w:r>
    </w:p>
    <w:p>
      <w:pPr>
        <w:pStyle w:val="ListBullet"/>
      </w:pPr>
      <w:r>
        <w:t>Registered professionals reviewing relevant material within verified registration, competence and scope.</w:t>
      </w:r>
    </w:p>
    <w:p>
      <w:pPr>
        <w:pStyle w:val="ListBullet"/>
      </w:pPr>
      <w:r>
        <w:t>Authorised family-support, casework, legal or court users receiving only purpose-limited information under lawful authority.</w:t>
      </w:r>
    </w:p>
    <w:p>
      <w:pPr>
        <w:pStyle w:val="ListBullet"/>
      </w:pPr>
      <w:r>
        <w:t>Consumer mobile/web use, including low-data and offline-capable workflows; professional portal use in approved service settings.</w:t>
      </w:r>
    </w:p>
    <w:p>
      <w:pPr>
        <w:pStyle w:val="Heading2"/>
      </w:pPr>
      <w:r>
        <w:t>2.2 Explicitly outside the current intended purpose</w:t>
      </w:r>
    </w:p>
    <w:p>
      <w:pPr>
        <w:pStyle w:val="ListBullet"/>
      </w:pPr>
      <w:r>
        <w:t>Autonomous diagnosis, prognosis, forensic conclusion or treatment recommendation.</w:t>
      </w:r>
    </w:p>
    <w:p>
      <w:pPr>
        <w:pStyle w:val="ListBullet"/>
      </w:pPr>
      <w:r>
        <w:t>Medication advice, prescribing, dose changes, detoxification instructions or emergency-service replacement.</w:t>
      </w:r>
    </w:p>
    <w:p>
      <w:pPr>
        <w:pStyle w:val="ListBullet"/>
      </w:pPr>
      <w:r>
        <w:t>Automatic findings that an allegation is proven, a parent is fit/unfit, or a child should be removed or reunified.</w:t>
      </w:r>
    </w:p>
    <w:p>
      <w:pPr>
        <w:pStyle w:val="ListBullet"/>
      </w:pPr>
      <w:r>
        <w:t>Automatic restrictions on parent-child contact, case closure or disclosure of private child/family information.</w:t>
      </w:r>
    </w:p>
    <w:p>
      <w:pPr>
        <w:pStyle w:val="ListBullet"/>
      </w:pPr>
      <w:r>
        <w:t>AI alteration of validated questions, instrument scoring, thresholds or practitioner conclusions.</w:t>
      </w:r>
    </w:p>
    <w:p>
      <w:pPr>
        <w:pStyle w:val="ListBullet"/>
      </w:pPr>
      <w:r>
        <w:t>Unsupervised administration or disclosure of practitioner-only or restricted psychological tests.</w:t>
      </w:r>
    </w:p>
    <w:p>
      <w:pPr>
        <w:pStyle w:val="Heading1"/>
      </w:pPr>
      <w:r>
        <w:t>3. Module boundary register</w:t>
      </w:r>
    </w:p>
    <w:tbl>
      <w:tblPr>
        <w:tblStyle w:val="TableGrid"/>
        <w:tblW w:type="dxa" w:w="9360"/>
        <w:tblLayout w:type="fixed"/>
        <w:tblLook w:firstColumn="1" w:firstRow="1" w:lastColumn="0" w:lastRow="0" w:noHBand="0" w:noVBand="1" w:val="04A0"/>
        <w:jc w:val="left"/>
        <w:tblInd w:w="120" w:type="dxa"/>
      </w:tblPr>
      <w:tblGrid>
        <w:gridCol w:w="1350"/>
        <w:gridCol w:w="2410"/>
        <w:gridCol w:w="1400"/>
        <w:gridCol w:w="1820"/>
        <w:gridCol w:w="2380"/>
      </w:tblGrid>
      <w:tr>
        <w:trPr>
          <w:tblHeader/>
        </w:trPr>
        <w:tc>
          <w:tcPr>
            <w:tcW w:type="dxa" w:w="1350"/>
            <w:vAlign w:val="top"/>
            <w:tcMar>
              <w:top w:w="80" w:type="dxa"/>
              <w:bottom w:w="80" w:type="dxa"/>
              <w:start w:w="120" w:type="dxa"/>
              <w:end w:w="120" w:type="dxa"/>
            </w:tcMar>
            <w:shd w:fill="2E746E"/>
          </w:tcPr>
          <w:p>
            <w:r>
              <w:rPr>
                <w:rFonts w:ascii="Calibri" w:hAnsi="Calibri"/>
                <w:b/>
                <w:color w:val="FFFFFF"/>
                <w:sz w:val="18"/>
              </w:rPr>
              <w:t>Module</w:t>
            </w:r>
          </w:p>
        </w:tc>
        <w:tc>
          <w:tcPr>
            <w:tcW w:type="dxa" w:w="2410"/>
            <w:vAlign w:val="top"/>
            <w:tcMar>
              <w:top w:w="80" w:type="dxa"/>
              <w:bottom w:w="80" w:type="dxa"/>
              <w:start w:w="120" w:type="dxa"/>
              <w:end w:w="120" w:type="dxa"/>
            </w:tcMar>
            <w:shd w:fill="2E746E"/>
          </w:tcPr>
          <w:p>
            <w:r>
              <w:rPr>
                <w:rFonts w:ascii="Calibri" w:hAnsi="Calibri"/>
                <w:b/>
                <w:color w:val="FFFFFF"/>
                <w:sz w:val="18"/>
              </w:rPr>
              <w:t>Function</w:t>
            </w:r>
          </w:p>
        </w:tc>
        <w:tc>
          <w:tcPr>
            <w:tcW w:type="dxa" w:w="1400"/>
            <w:vAlign w:val="top"/>
            <w:tcMar>
              <w:top w:w="80" w:type="dxa"/>
              <w:bottom w:w="80" w:type="dxa"/>
              <w:start w:w="120" w:type="dxa"/>
              <w:end w:w="120" w:type="dxa"/>
            </w:tcMar>
            <w:shd w:fill="2E746E"/>
          </w:tcPr>
          <w:p>
            <w:r>
              <w:rPr>
                <w:rFonts w:ascii="Calibri" w:hAnsi="Calibri"/>
                <w:b/>
                <w:color w:val="FFFFFF"/>
                <w:sz w:val="18"/>
              </w:rPr>
              <w:t>Category</w:t>
            </w:r>
          </w:p>
        </w:tc>
        <w:tc>
          <w:tcPr>
            <w:tcW w:type="dxa" w:w="1820"/>
            <w:vAlign w:val="top"/>
            <w:tcMar>
              <w:top w:w="80" w:type="dxa"/>
              <w:bottom w:w="80" w:type="dxa"/>
              <w:start w:w="120" w:type="dxa"/>
              <w:end w:w="120" w:type="dxa"/>
            </w:tcMar>
            <w:shd w:fill="2E746E"/>
          </w:tcPr>
          <w:p>
            <w:r>
              <w:rPr>
                <w:rFonts w:ascii="Calibri" w:hAnsi="Calibri"/>
                <w:b/>
                <w:color w:val="FFFFFF"/>
                <w:sz w:val="18"/>
              </w:rPr>
              <w:t>Permitted output</w:t>
            </w:r>
          </w:p>
        </w:tc>
        <w:tc>
          <w:tcPr>
            <w:tcW w:type="dxa" w:w="2380"/>
            <w:vAlign w:val="top"/>
            <w:tcMar>
              <w:top w:w="80" w:type="dxa"/>
              <w:bottom w:w="80" w:type="dxa"/>
              <w:start w:w="120" w:type="dxa"/>
              <w:end w:w="120" w:type="dxa"/>
            </w:tcMar>
            <w:shd w:fill="2E746E"/>
          </w:tcPr>
          <w:p>
            <w:r>
              <w:rPr>
                <w:rFonts w:ascii="Calibri" w:hAnsi="Calibri"/>
                <w:b/>
                <w:color w:val="FFFFFF"/>
                <w:sz w:val="18"/>
              </w:rPr>
              <w:t>Preliminary regulatory position</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A. Learning library</w:t>
            </w:r>
          </w:p>
        </w:tc>
        <w:tc>
          <w:tcPr>
            <w:tcW w:type="dxa" w:w="2410"/>
            <w:vAlign w:val="top"/>
            <w:tcMar>
              <w:top w:w="80" w:type="dxa"/>
              <w:bottom w:w="80" w:type="dxa"/>
              <w:start w:w="120" w:type="dxa"/>
              <w:end w:w="120" w:type="dxa"/>
            </w:tcMar>
          </w:tcPr>
          <w:p>
            <w:r>
              <w:rPr>
                <w:rFonts w:ascii="Calibri" w:hAnsi="Calibri"/>
                <w:b w:val="0"/>
                <w:color w:val="000000"/>
                <w:sz w:val="15"/>
              </w:rPr>
              <w:t>Lessons, read-aloud, reflections, checks and practice tasks</w:t>
            </w:r>
          </w:p>
        </w:tc>
        <w:tc>
          <w:tcPr>
            <w:tcW w:type="dxa" w:w="1400"/>
            <w:vAlign w:val="top"/>
            <w:tcMar>
              <w:top w:w="80" w:type="dxa"/>
              <w:bottom w:w="80" w:type="dxa"/>
              <w:start w:w="120" w:type="dxa"/>
              <w:end w:w="120" w:type="dxa"/>
            </w:tcMar>
          </w:tcPr>
          <w:p>
            <w:r>
              <w:rPr>
                <w:rFonts w:ascii="Calibri" w:hAnsi="Calibri"/>
                <w:b w:val="0"/>
                <w:color w:val="000000"/>
                <w:sz w:val="15"/>
              </w:rPr>
              <w:t>Family education/support</w:t>
            </w:r>
          </w:p>
        </w:tc>
        <w:tc>
          <w:tcPr>
            <w:tcW w:type="dxa" w:w="1820"/>
            <w:vAlign w:val="top"/>
            <w:tcMar>
              <w:top w:w="80" w:type="dxa"/>
              <w:bottom w:w="80" w:type="dxa"/>
              <w:start w:w="120" w:type="dxa"/>
              <w:end w:w="120" w:type="dxa"/>
            </w:tcMar>
          </w:tcPr>
          <w:p>
            <w:r>
              <w:rPr>
                <w:rFonts w:ascii="Calibri" w:hAnsi="Calibri"/>
                <w:b w:val="0"/>
                <w:color w:val="000000"/>
                <w:sz w:val="15"/>
              </w:rPr>
              <w:t>No clinical score or diagnosis</w:t>
            </w:r>
          </w:p>
        </w:tc>
        <w:tc>
          <w:tcPr>
            <w:tcW w:type="dxa" w:w="2380"/>
            <w:vAlign w:val="top"/>
            <w:tcMar>
              <w:top w:w="80" w:type="dxa"/>
              <w:bottom w:w="80" w:type="dxa"/>
              <w:start w:w="120" w:type="dxa"/>
              <w:end w:w="120" w:type="dxa"/>
            </w:tcMar>
          </w:tcPr>
          <w:p>
            <w:r>
              <w:rPr>
                <w:rFonts w:ascii="Calibri" w:hAnsi="Calibri"/>
                <w:b w:val="0"/>
                <w:color w:val="000000"/>
                <w:sz w:val="15"/>
              </w:rPr>
              <w:t>Likely non-medical; confirm claims</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B. Goals and progress</w:t>
            </w:r>
          </w:p>
        </w:tc>
        <w:tc>
          <w:tcPr>
            <w:tcW w:type="dxa" w:w="2410"/>
            <w:vAlign w:val="top"/>
            <w:tcMar>
              <w:top w:w="80" w:type="dxa"/>
              <w:bottom w:w="80" w:type="dxa"/>
              <w:start w:w="120" w:type="dxa"/>
              <w:end w:w="120" w:type="dxa"/>
            </w:tcMar>
          </w:tcPr>
          <w:p>
            <w:r>
              <w:rPr>
                <w:rFonts w:ascii="Calibri" w:hAnsi="Calibri"/>
                <w:b w:val="0"/>
                <w:color w:val="000000"/>
                <w:sz w:val="15"/>
              </w:rPr>
              <w:t>Goals, routines, achievements, barriers and longitudinal record</w:t>
            </w:r>
          </w:p>
        </w:tc>
        <w:tc>
          <w:tcPr>
            <w:tcW w:type="dxa" w:w="1400"/>
            <w:vAlign w:val="top"/>
            <w:tcMar>
              <w:top w:w="80" w:type="dxa"/>
              <w:bottom w:w="80" w:type="dxa"/>
              <w:start w:w="120" w:type="dxa"/>
              <w:end w:w="120" w:type="dxa"/>
            </w:tcMar>
          </w:tcPr>
          <w:p>
            <w:r>
              <w:rPr>
                <w:rFonts w:ascii="Calibri" w:hAnsi="Calibri"/>
                <w:b w:val="0"/>
                <w:color w:val="000000"/>
                <w:sz w:val="15"/>
              </w:rPr>
              <w:t>Administrative/support</w:t>
            </w:r>
          </w:p>
        </w:tc>
        <w:tc>
          <w:tcPr>
            <w:tcW w:type="dxa" w:w="1820"/>
            <w:vAlign w:val="top"/>
            <w:tcMar>
              <w:top w:w="80" w:type="dxa"/>
              <w:bottom w:w="80" w:type="dxa"/>
              <w:start w:w="120" w:type="dxa"/>
              <w:end w:w="120" w:type="dxa"/>
            </w:tcMar>
          </w:tcPr>
          <w:p>
            <w:r>
              <w:rPr>
                <w:rFonts w:ascii="Calibri" w:hAnsi="Calibri"/>
                <w:b w:val="0"/>
                <w:color w:val="000000"/>
                <w:sz w:val="15"/>
              </w:rPr>
              <w:t>Descriptive progress only</w:t>
            </w:r>
          </w:p>
        </w:tc>
        <w:tc>
          <w:tcPr>
            <w:tcW w:type="dxa" w:w="2380"/>
            <w:vAlign w:val="top"/>
            <w:tcMar>
              <w:top w:w="80" w:type="dxa"/>
              <w:bottom w:w="80" w:type="dxa"/>
              <w:start w:w="120" w:type="dxa"/>
              <w:end w:w="120" w:type="dxa"/>
            </w:tcMar>
          </w:tcPr>
          <w:p>
            <w:r>
              <w:rPr>
                <w:rFonts w:ascii="Calibri" w:hAnsi="Calibri"/>
                <w:b w:val="0"/>
                <w:color w:val="000000"/>
                <w:sz w:val="15"/>
              </w:rPr>
              <w:t>Likely non-medical; avoid clinical prediction</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C. Evidence vault</w:t>
            </w:r>
          </w:p>
        </w:tc>
        <w:tc>
          <w:tcPr>
            <w:tcW w:type="dxa" w:w="2410"/>
            <w:vAlign w:val="top"/>
            <w:tcMar>
              <w:top w:w="80" w:type="dxa"/>
              <w:bottom w:w="80" w:type="dxa"/>
              <w:start w:w="120" w:type="dxa"/>
              <w:end w:w="120" w:type="dxa"/>
            </w:tcMar>
          </w:tcPr>
          <w:p>
            <w:r>
              <w:rPr>
                <w:rFonts w:ascii="Calibri" w:hAnsi="Calibri"/>
                <w:b w:val="0"/>
                <w:color w:val="000000"/>
                <w:sz w:val="15"/>
              </w:rPr>
              <w:t>Live capture, timestamp, provenance, access and tamper evidence</w:t>
            </w:r>
          </w:p>
        </w:tc>
        <w:tc>
          <w:tcPr>
            <w:tcW w:type="dxa" w:w="1400"/>
            <w:vAlign w:val="top"/>
            <w:tcMar>
              <w:top w:w="80" w:type="dxa"/>
              <w:bottom w:w="80" w:type="dxa"/>
              <w:start w:w="120" w:type="dxa"/>
              <w:end w:w="120" w:type="dxa"/>
            </w:tcMar>
          </w:tcPr>
          <w:p>
            <w:r>
              <w:rPr>
                <w:rFonts w:ascii="Calibri" w:hAnsi="Calibri"/>
                <w:b w:val="0"/>
                <w:color w:val="000000"/>
                <w:sz w:val="15"/>
              </w:rPr>
              <w:t>Record management</w:t>
            </w:r>
          </w:p>
        </w:tc>
        <w:tc>
          <w:tcPr>
            <w:tcW w:type="dxa" w:w="1820"/>
            <w:vAlign w:val="top"/>
            <w:tcMar>
              <w:top w:w="80" w:type="dxa"/>
              <w:bottom w:w="80" w:type="dxa"/>
              <w:start w:w="120" w:type="dxa"/>
              <w:end w:w="120" w:type="dxa"/>
            </w:tcMar>
          </w:tcPr>
          <w:p>
            <w:r>
              <w:rPr>
                <w:rFonts w:ascii="Calibri" w:hAnsi="Calibri"/>
                <w:b w:val="0"/>
                <w:color w:val="000000"/>
                <w:sz w:val="15"/>
              </w:rPr>
              <w:t>Authenticity metadata; not truth finding</w:t>
            </w:r>
          </w:p>
        </w:tc>
        <w:tc>
          <w:tcPr>
            <w:tcW w:type="dxa" w:w="2380"/>
            <w:vAlign w:val="top"/>
            <w:tcMar>
              <w:top w:w="80" w:type="dxa"/>
              <w:bottom w:w="80" w:type="dxa"/>
              <w:start w:w="120" w:type="dxa"/>
              <w:end w:w="120" w:type="dxa"/>
            </w:tcMar>
          </w:tcPr>
          <w:p>
            <w:r>
              <w:rPr>
                <w:rFonts w:ascii="Calibri" w:hAnsi="Calibri"/>
                <w:b w:val="0"/>
                <w:color w:val="000000"/>
                <w:sz w:val="15"/>
              </w:rPr>
              <w:t>Likely non-medical; separate evidential/legal claims</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D. Service navigation</w:t>
            </w:r>
          </w:p>
        </w:tc>
        <w:tc>
          <w:tcPr>
            <w:tcW w:type="dxa" w:w="2410"/>
            <w:vAlign w:val="top"/>
            <w:tcMar>
              <w:top w:w="80" w:type="dxa"/>
              <w:bottom w:w="80" w:type="dxa"/>
              <w:start w:w="120" w:type="dxa"/>
              <w:end w:w="120" w:type="dxa"/>
            </w:tcMar>
          </w:tcPr>
          <w:p>
            <w:r>
              <w:rPr>
                <w:rFonts w:ascii="Calibri" w:hAnsi="Calibri"/>
                <w:b w:val="0"/>
                <w:color w:val="000000"/>
                <w:sz w:val="15"/>
              </w:rPr>
              <w:t>Directory, matching, referrals, waitlists and barriers</w:t>
            </w:r>
          </w:p>
        </w:tc>
        <w:tc>
          <w:tcPr>
            <w:tcW w:type="dxa" w:w="1400"/>
            <w:vAlign w:val="top"/>
            <w:tcMar>
              <w:top w:w="80" w:type="dxa"/>
              <w:bottom w:w="80" w:type="dxa"/>
              <w:start w:w="120" w:type="dxa"/>
              <w:end w:w="120" w:type="dxa"/>
            </w:tcMar>
          </w:tcPr>
          <w:p>
            <w:r>
              <w:rPr>
                <w:rFonts w:ascii="Calibri" w:hAnsi="Calibri"/>
                <w:b w:val="0"/>
                <w:color w:val="000000"/>
                <w:sz w:val="15"/>
              </w:rPr>
              <w:t>Navigation/administration</w:t>
            </w:r>
          </w:p>
        </w:tc>
        <w:tc>
          <w:tcPr>
            <w:tcW w:type="dxa" w:w="1820"/>
            <w:vAlign w:val="top"/>
            <w:tcMar>
              <w:top w:w="80" w:type="dxa"/>
              <w:bottom w:w="80" w:type="dxa"/>
              <w:start w:w="120" w:type="dxa"/>
              <w:end w:w="120" w:type="dxa"/>
            </w:tcMar>
          </w:tcPr>
          <w:p>
            <w:r>
              <w:rPr>
                <w:rFonts w:ascii="Calibri" w:hAnsi="Calibri"/>
                <w:b w:val="0"/>
                <w:color w:val="000000"/>
                <w:sz w:val="15"/>
              </w:rPr>
              <w:t>Options, not clinical prescription</w:t>
            </w:r>
          </w:p>
        </w:tc>
        <w:tc>
          <w:tcPr>
            <w:tcW w:type="dxa" w:w="2380"/>
            <w:vAlign w:val="top"/>
            <w:tcMar>
              <w:top w:w="80" w:type="dxa"/>
              <w:bottom w:w="80" w:type="dxa"/>
              <w:start w:w="120" w:type="dxa"/>
              <w:end w:w="120" w:type="dxa"/>
            </w:tcMar>
          </w:tcPr>
          <w:p>
            <w:r>
              <w:rPr>
                <w:rFonts w:ascii="Calibri" w:hAnsi="Calibri"/>
                <w:b w:val="0"/>
                <w:color w:val="000000"/>
                <w:sz w:val="15"/>
              </w:rPr>
              <w:t>Likely non-medical if claims remain limited</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E. AI Support Coach</w:t>
            </w:r>
          </w:p>
        </w:tc>
        <w:tc>
          <w:tcPr>
            <w:tcW w:type="dxa" w:w="2410"/>
            <w:vAlign w:val="top"/>
            <w:tcMar>
              <w:top w:w="80" w:type="dxa"/>
              <w:bottom w:w="80" w:type="dxa"/>
              <w:start w:w="120" w:type="dxa"/>
              <w:end w:w="120" w:type="dxa"/>
            </w:tcMar>
          </w:tcPr>
          <w:p>
            <w:r>
              <w:rPr>
                <w:rFonts w:ascii="Calibri" w:hAnsi="Calibri"/>
                <w:b w:val="0"/>
                <w:color w:val="000000"/>
                <w:sz w:val="15"/>
              </w:rPr>
              <w:t>Reflective support, coping prompts, safety information and task coaching</w:t>
            </w:r>
          </w:p>
        </w:tc>
        <w:tc>
          <w:tcPr>
            <w:tcW w:type="dxa" w:w="1400"/>
            <w:vAlign w:val="top"/>
            <w:tcMar>
              <w:top w:w="80" w:type="dxa"/>
              <w:bottom w:w="80" w:type="dxa"/>
              <w:start w:w="120" w:type="dxa"/>
              <w:end w:w="120" w:type="dxa"/>
            </w:tcMar>
          </w:tcPr>
          <w:p>
            <w:r>
              <w:rPr>
                <w:rFonts w:ascii="Calibri" w:hAnsi="Calibri"/>
                <w:b w:val="0"/>
                <w:color w:val="000000"/>
                <w:sz w:val="15"/>
              </w:rPr>
              <w:t>Wellbeing/support</w:t>
            </w:r>
          </w:p>
        </w:tc>
        <w:tc>
          <w:tcPr>
            <w:tcW w:type="dxa" w:w="1820"/>
            <w:vAlign w:val="top"/>
            <w:tcMar>
              <w:top w:w="80" w:type="dxa"/>
              <w:bottom w:w="80" w:type="dxa"/>
              <w:start w:w="120" w:type="dxa"/>
              <w:end w:w="120" w:type="dxa"/>
            </w:tcMar>
          </w:tcPr>
          <w:p>
            <w:r>
              <w:rPr>
                <w:rFonts w:ascii="Calibri" w:hAnsi="Calibri"/>
                <w:b w:val="0"/>
                <w:color w:val="000000"/>
                <w:sz w:val="15"/>
              </w:rPr>
              <w:t>No diagnosis or treatment plan</w:t>
            </w:r>
          </w:p>
        </w:tc>
        <w:tc>
          <w:tcPr>
            <w:tcW w:type="dxa" w:w="2380"/>
            <w:vAlign w:val="top"/>
            <w:tcMar>
              <w:top w:w="80" w:type="dxa"/>
              <w:bottom w:w="80" w:type="dxa"/>
              <w:start w:w="120" w:type="dxa"/>
              <w:end w:w="120" w:type="dxa"/>
            </w:tcMar>
          </w:tcPr>
          <w:p>
            <w:r>
              <w:rPr>
                <w:rFonts w:ascii="Calibri" w:hAnsi="Calibri"/>
                <w:b w:val="0"/>
                <w:color w:val="000000"/>
                <w:sz w:val="15"/>
              </w:rPr>
              <w:t>Potential exclusion depends on claims and risk</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F. Preliminary screening</w:t>
            </w:r>
          </w:p>
        </w:tc>
        <w:tc>
          <w:tcPr>
            <w:tcW w:type="dxa" w:w="2410"/>
            <w:vAlign w:val="top"/>
            <w:tcMar>
              <w:top w:w="80" w:type="dxa"/>
              <w:bottom w:w="80" w:type="dxa"/>
              <w:start w:w="120" w:type="dxa"/>
              <w:end w:w="120" w:type="dxa"/>
            </w:tcMar>
          </w:tcPr>
          <w:p>
            <w:r>
              <w:rPr>
                <w:rFonts w:ascii="Calibri" w:hAnsi="Calibri"/>
                <w:b w:val="0"/>
                <w:color w:val="000000"/>
                <w:sz w:val="15"/>
              </w:rPr>
              <w:t>Licensed questionnaires, eligibility gates and deterministic scoring</w:t>
            </w:r>
          </w:p>
        </w:tc>
        <w:tc>
          <w:tcPr>
            <w:tcW w:type="dxa" w:w="1400"/>
            <w:vAlign w:val="top"/>
            <w:tcMar>
              <w:top w:w="80" w:type="dxa"/>
              <w:bottom w:w="80" w:type="dxa"/>
              <w:start w:w="120" w:type="dxa"/>
              <w:end w:w="120" w:type="dxa"/>
            </w:tcMar>
          </w:tcPr>
          <w:p>
            <w:r>
              <w:rPr>
                <w:rFonts w:ascii="Calibri" w:hAnsi="Calibri"/>
                <w:b w:val="0"/>
                <w:color w:val="000000"/>
                <w:sz w:val="15"/>
              </w:rPr>
              <w:t>Assessment support</w:t>
            </w:r>
          </w:p>
        </w:tc>
        <w:tc>
          <w:tcPr>
            <w:tcW w:type="dxa" w:w="1820"/>
            <w:vAlign w:val="top"/>
            <w:tcMar>
              <w:top w:w="80" w:type="dxa"/>
              <w:bottom w:w="80" w:type="dxa"/>
              <w:start w:w="120" w:type="dxa"/>
              <w:end w:w="120" w:type="dxa"/>
            </w:tcMar>
          </w:tcPr>
          <w:p>
            <w:r>
              <w:rPr>
                <w:rFonts w:ascii="Calibri" w:hAnsi="Calibri"/>
                <w:b w:val="0"/>
                <w:color w:val="000000"/>
                <w:sz w:val="15"/>
              </w:rPr>
              <w:t>Unreviewed result - not a diagnosis</w:t>
            </w:r>
          </w:p>
        </w:tc>
        <w:tc>
          <w:tcPr>
            <w:tcW w:type="dxa" w:w="2380"/>
            <w:vAlign w:val="top"/>
            <w:tcMar>
              <w:top w:w="80" w:type="dxa"/>
              <w:bottom w:w="80" w:type="dxa"/>
              <w:start w:w="120" w:type="dxa"/>
              <w:end w:w="120" w:type="dxa"/>
            </w:tcMar>
          </w:tcPr>
          <w:p>
            <w:r>
              <w:rPr>
                <w:rFonts w:ascii="Calibri" w:hAnsi="Calibri"/>
                <w:b w:val="0"/>
                <w:color w:val="000000"/>
                <w:sz w:val="15"/>
              </w:rPr>
              <w:t>May be regulated, excluded or exempt; TGA confirmation</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G. Assessment bundle</w:t>
            </w:r>
          </w:p>
        </w:tc>
        <w:tc>
          <w:tcPr>
            <w:tcW w:type="dxa" w:w="2410"/>
            <w:vAlign w:val="top"/>
            <w:tcMar>
              <w:top w:w="80" w:type="dxa"/>
              <w:bottom w:w="80" w:type="dxa"/>
              <w:start w:w="120" w:type="dxa"/>
              <w:end w:w="120" w:type="dxa"/>
            </w:tcMar>
          </w:tcPr>
          <w:p>
            <w:r>
              <w:rPr>
                <w:rFonts w:ascii="Calibri" w:hAnsi="Calibri"/>
                <w:b w:val="0"/>
                <w:color w:val="000000"/>
                <w:sz w:val="15"/>
              </w:rPr>
              <w:t>Sources, responses, scores, context, uncertainty and disputes</w:t>
            </w:r>
          </w:p>
        </w:tc>
        <w:tc>
          <w:tcPr>
            <w:tcW w:type="dxa" w:w="1400"/>
            <w:vAlign w:val="top"/>
            <w:tcMar>
              <w:top w:w="80" w:type="dxa"/>
              <w:bottom w:w="80" w:type="dxa"/>
              <w:start w:w="120" w:type="dxa"/>
              <w:end w:w="120" w:type="dxa"/>
            </w:tcMar>
          </w:tcPr>
          <w:p>
            <w:r>
              <w:rPr>
                <w:rFonts w:ascii="Calibri" w:hAnsi="Calibri"/>
                <w:b w:val="0"/>
                <w:color w:val="000000"/>
                <w:sz w:val="15"/>
              </w:rPr>
              <w:t>Assessment support</w:t>
            </w:r>
          </w:p>
        </w:tc>
        <w:tc>
          <w:tcPr>
            <w:tcW w:type="dxa" w:w="1820"/>
            <w:vAlign w:val="top"/>
            <w:tcMar>
              <w:top w:w="80" w:type="dxa"/>
              <w:bottom w:w="80" w:type="dxa"/>
              <w:start w:w="120" w:type="dxa"/>
              <w:end w:w="120" w:type="dxa"/>
            </w:tcMar>
          </w:tcPr>
          <w:p>
            <w:r>
              <w:rPr>
                <w:rFonts w:ascii="Calibri" w:hAnsi="Calibri"/>
                <w:b w:val="0"/>
                <w:color w:val="000000"/>
                <w:sz w:val="15"/>
              </w:rPr>
              <w:t>Unreviewed draft bundle</w:t>
            </w:r>
          </w:p>
        </w:tc>
        <w:tc>
          <w:tcPr>
            <w:tcW w:type="dxa" w:w="2380"/>
            <w:vAlign w:val="top"/>
            <w:tcMar>
              <w:top w:w="80" w:type="dxa"/>
              <w:bottom w:w="80" w:type="dxa"/>
              <w:start w:w="120" w:type="dxa"/>
              <w:end w:w="120" w:type="dxa"/>
            </w:tcMar>
          </w:tcPr>
          <w:p>
            <w:r>
              <w:rPr>
                <w:rFonts w:ascii="Calibri" w:hAnsi="Calibri"/>
                <w:b w:val="0"/>
                <w:color w:val="000000"/>
                <w:sz w:val="15"/>
              </w:rPr>
              <w:t>May affect device boundary/classification</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H. Professional review</w:t>
            </w:r>
          </w:p>
        </w:tc>
        <w:tc>
          <w:tcPr>
            <w:tcW w:type="dxa" w:w="2410"/>
            <w:vAlign w:val="top"/>
            <w:tcMar>
              <w:top w:w="80" w:type="dxa"/>
              <w:bottom w:w="80" w:type="dxa"/>
              <w:start w:w="120" w:type="dxa"/>
              <w:end w:w="120" w:type="dxa"/>
            </w:tcMar>
          </w:tcPr>
          <w:p>
            <w:r>
              <w:rPr>
                <w:rFonts w:ascii="Calibri" w:hAnsi="Calibri"/>
                <w:b w:val="0"/>
                <w:color w:val="000000"/>
                <w:sz w:val="15"/>
              </w:rPr>
              <w:t>Practitioner reviews and separately signs own conclusion</w:t>
            </w:r>
          </w:p>
        </w:tc>
        <w:tc>
          <w:tcPr>
            <w:tcW w:type="dxa" w:w="1400"/>
            <w:vAlign w:val="top"/>
            <w:tcMar>
              <w:top w:w="80" w:type="dxa"/>
              <w:bottom w:w="80" w:type="dxa"/>
              <w:start w:w="120" w:type="dxa"/>
              <w:end w:w="120" w:type="dxa"/>
            </w:tcMar>
          </w:tcPr>
          <w:p>
            <w:r>
              <w:rPr>
                <w:rFonts w:ascii="Calibri" w:hAnsi="Calibri"/>
                <w:b w:val="0"/>
                <w:color w:val="000000"/>
                <w:sz w:val="15"/>
              </w:rPr>
              <w:t>Professional service/workflow</w:t>
            </w:r>
          </w:p>
        </w:tc>
        <w:tc>
          <w:tcPr>
            <w:tcW w:type="dxa" w:w="1820"/>
            <w:vAlign w:val="top"/>
            <w:tcMar>
              <w:top w:w="80" w:type="dxa"/>
              <w:bottom w:w="80" w:type="dxa"/>
              <w:start w:w="120" w:type="dxa"/>
              <w:end w:w="120" w:type="dxa"/>
            </w:tcMar>
          </w:tcPr>
          <w:p>
            <w:r>
              <w:rPr>
                <w:rFonts w:ascii="Calibri" w:hAnsi="Calibri"/>
                <w:b w:val="0"/>
                <w:color w:val="000000"/>
                <w:sz w:val="15"/>
              </w:rPr>
              <w:t>Practitioner-authored status only</w:t>
            </w:r>
          </w:p>
        </w:tc>
        <w:tc>
          <w:tcPr>
            <w:tcW w:type="dxa" w:w="2380"/>
            <w:vAlign w:val="top"/>
            <w:tcMar>
              <w:top w:w="80" w:type="dxa"/>
              <w:bottom w:w="80" w:type="dxa"/>
              <w:start w:w="120" w:type="dxa"/>
              <w:end w:w="120" w:type="dxa"/>
            </w:tcMar>
          </w:tcPr>
          <w:p>
            <w:r>
              <w:rPr>
                <w:rFonts w:ascii="Calibri" w:hAnsi="Calibri"/>
                <w:b w:val="0"/>
                <w:color w:val="000000"/>
                <w:sz w:val="15"/>
              </w:rPr>
              <w:t>Software functions still require assessment</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I. Child/carer spaces</w:t>
            </w:r>
          </w:p>
        </w:tc>
        <w:tc>
          <w:tcPr>
            <w:tcW w:type="dxa" w:w="2410"/>
            <w:vAlign w:val="top"/>
            <w:tcMar>
              <w:top w:w="80" w:type="dxa"/>
              <w:bottom w:w="80" w:type="dxa"/>
              <w:start w:w="120" w:type="dxa"/>
              <w:end w:w="120" w:type="dxa"/>
            </w:tcMar>
          </w:tcPr>
          <w:p>
            <w:r>
              <w:rPr>
                <w:rFonts w:ascii="Calibri" w:hAnsi="Calibri"/>
                <w:b w:val="0"/>
                <w:color w:val="000000"/>
                <w:sz w:val="15"/>
              </w:rPr>
              <w:t>Check-ins, views, observations, strengths and concerns</w:t>
            </w:r>
          </w:p>
        </w:tc>
        <w:tc>
          <w:tcPr>
            <w:tcW w:type="dxa" w:w="1400"/>
            <w:vAlign w:val="top"/>
            <w:tcMar>
              <w:top w:w="80" w:type="dxa"/>
              <w:bottom w:w="80" w:type="dxa"/>
              <w:start w:w="120" w:type="dxa"/>
              <w:end w:w="120" w:type="dxa"/>
            </w:tcMar>
          </w:tcPr>
          <w:p>
            <w:r>
              <w:rPr>
                <w:rFonts w:ascii="Calibri" w:hAnsi="Calibri"/>
                <w:b w:val="0"/>
                <w:color w:val="000000"/>
                <w:sz w:val="15"/>
              </w:rPr>
              <w:t>Participation/recording</w:t>
            </w:r>
          </w:p>
        </w:tc>
        <w:tc>
          <w:tcPr>
            <w:tcW w:type="dxa" w:w="1820"/>
            <w:vAlign w:val="top"/>
            <w:tcMar>
              <w:top w:w="80" w:type="dxa"/>
              <w:bottom w:w="80" w:type="dxa"/>
              <w:start w:w="120" w:type="dxa"/>
              <w:end w:w="120" w:type="dxa"/>
            </w:tcMar>
          </w:tcPr>
          <w:p>
            <w:r>
              <w:rPr>
                <w:rFonts w:ascii="Calibri" w:hAnsi="Calibri"/>
                <w:b w:val="0"/>
                <w:color w:val="000000"/>
                <w:sz w:val="15"/>
              </w:rPr>
              <w:t>No automated clinical inference</w:t>
            </w:r>
          </w:p>
        </w:tc>
        <w:tc>
          <w:tcPr>
            <w:tcW w:type="dxa" w:w="2380"/>
            <w:vAlign w:val="top"/>
            <w:tcMar>
              <w:top w:w="80" w:type="dxa"/>
              <w:bottom w:w="80" w:type="dxa"/>
              <w:start w:w="120" w:type="dxa"/>
              <w:end w:w="120" w:type="dxa"/>
            </w:tcMar>
          </w:tcPr>
          <w:p>
            <w:r>
              <w:rPr>
                <w:rFonts w:ascii="Calibri" w:hAnsi="Calibri"/>
                <w:b w:val="0"/>
                <w:color w:val="000000"/>
                <w:sz w:val="15"/>
              </w:rPr>
              <w:t>Child safety, privacy and possible survey exclusions</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J. Parent-child tools</w:t>
            </w:r>
          </w:p>
        </w:tc>
        <w:tc>
          <w:tcPr>
            <w:tcW w:type="dxa" w:w="2410"/>
            <w:vAlign w:val="top"/>
            <w:tcMar>
              <w:top w:w="80" w:type="dxa"/>
              <w:bottom w:w="80" w:type="dxa"/>
              <w:start w:w="120" w:type="dxa"/>
              <w:end w:w="120" w:type="dxa"/>
            </w:tcMar>
          </w:tcPr>
          <w:p>
            <w:r>
              <w:rPr>
                <w:rFonts w:ascii="Calibri" w:hAnsi="Calibri"/>
                <w:b w:val="0"/>
                <w:color w:val="000000"/>
                <w:sz w:val="15"/>
              </w:rPr>
              <w:t>Games, activities, updates and monitored messaging</w:t>
            </w:r>
          </w:p>
        </w:tc>
        <w:tc>
          <w:tcPr>
            <w:tcW w:type="dxa" w:w="1400"/>
            <w:vAlign w:val="top"/>
            <w:tcMar>
              <w:top w:w="80" w:type="dxa"/>
              <w:bottom w:w="80" w:type="dxa"/>
              <w:start w:w="120" w:type="dxa"/>
              <w:end w:w="120" w:type="dxa"/>
            </w:tcMar>
          </w:tcPr>
          <w:p>
            <w:r>
              <w:rPr>
                <w:rFonts w:ascii="Calibri" w:hAnsi="Calibri"/>
                <w:b w:val="0"/>
                <w:color w:val="000000"/>
                <w:sz w:val="15"/>
              </w:rPr>
              <w:t>Relationship support</w:t>
            </w:r>
          </w:p>
        </w:tc>
        <w:tc>
          <w:tcPr>
            <w:tcW w:type="dxa" w:w="1820"/>
            <w:vAlign w:val="top"/>
            <w:tcMar>
              <w:top w:w="80" w:type="dxa"/>
              <w:bottom w:w="80" w:type="dxa"/>
              <w:start w:w="120" w:type="dxa"/>
              <w:end w:w="120" w:type="dxa"/>
            </w:tcMar>
          </w:tcPr>
          <w:p>
            <w:r>
              <w:rPr>
                <w:rFonts w:ascii="Calibri" w:hAnsi="Calibri"/>
                <w:b w:val="0"/>
                <w:color w:val="000000"/>
                <w:sz w:val="15"/>
              </w:rPr>
              <w:t>No attachment diagnosis or risk finding</w:t>
            </w:r>
          </w:p>
        </w:tc>
        <w:tc>
          <w:tcPr>
            <w:tcW w:type="dxa" w:w="2380"/>
            <w:vAlign w:val="top"/>
            <w:tcMar>
              <w:top w:w="80" w:type="dxa"/>
              <w:bottom w:w="80" w:type="dxa"/>
              <w:start w:w="120" w:type="dxa"/>
              <w:end w:w="120" w:type="dxa"/>
            </w:tcMar>
          </w:tcPr>
          <w:p>
            <w:r>
              <w:rPr>
                <w:rFonts w:ascii="Calibri" w:hAnsi="Calibri"/>
                <w:b w:val="0"/>
                <w:color w:val="000000"/>
                <w:sz w:val="15"/>
              </w:rPr>
              <w:t>Analysis/claims could create medical or legal purpose</w:t>
            </w:r>
          </w:p>
        </w:tc>
      </w:tr>
      <w:tr>
        <w:trPr>
          <w:cantSplit/>
        </w:trPr>
        <w:tc>
          <w:tcPr>
            <w:tcW w:type="dxa" w:w="1350"/>
            <w:vAlign w:val="top"/>
            <w:tcMar>
              <w:top w:w="80" w:type="dxa"/>
              <w:bottom w:w="80" w:type="dxa"/>
              <w:start w:w="120" w:type="dxa"/>
              <w:end w:w="120" w:type="dxa"/>
            </w:tcMar>
          </w:tcPr>
          <w:p>
            <w:r>
              <w:rPr>
                <w:rFonts w:ascii="Calibri" w:hAnsi="Calibri"/>
                <w:b/>
                <w:color w:val="183B3A"/>
                <w:sz w:val="15"/>
              </w:rPr>
              <w:t>K. Reports and sharing</w:t>
            </w:r>
          </w:p>
        </w:tc>
        <w:tc>
          <w:tcPr>
            <w:tcW w:type="dxa" w:w="2410"/>
            <w:vAlign w:val="top"/>
            <w:tcMar>
              <w:top w:w="80" w:type="dxa"/>
              <w:bottom w:w="80" w:type="dxa"/>
              <w:start w:w="120" w:type="dxa"/>
              <w:end w:w="120" w:type="dxa"/>
            </w:tcMar>
          </w:tcPr>
          <w:p>
            <w:r>
              <w:rPr>
                <w:rFonts w:ascii="Calibri" w:hAnsi="Calibri"/>
                <w:b w:val="0"/>
                <w:color w:val="000000"/>
                <w:sz w:val="15"/>
              </w:rPr>
              <w:t>Source-linked timelines, progress, disputes and audit history</w:t>
            </w:r>
          </w:p>
        </w:tc>
        <w:tc>
          <w:tcPr>
            <w:tcW w:type="dxa" w:w="1400"/>
            <w:vAlign w:val="top"/>
            <w:tcMar>
              <w:top w:w="80" w:type="dxa"/>
              <w:bottom w:w="80" w:type="dxa"/>
              <w:start w:w="120" w:type="dxa"/>
              <w:end w:w="120" w:type="dxa"/>
            </w:tcMar>
          </w:tcPr>
          <w:p>
            <w:r>
              <w:rPr>
                <w:rFonts w:ascii="Calibri" w:hAnsi="Calibri"/>
                <w:b w:val="0"/>
                <w:color w:val="000000"/>
                <w:sz w:val="15"/>
              </w:rPr>
              <w:t>Reporting/administration</w:t>
            </w:r>
          </w:p>
        </w:tc>
        <w:tc>
          <w:tcPr>
            <w:tcW w:type="dxa" w:w="1820"/>
            <w:vAlign w:val="top"/>
            <w:tcMar>
              <w:top w:w="80" w:type="dxa"/>
              <w:bottom w:w="80" w:type="dxa"/>
              <w:start w:w="120" w:type="dxa"/>
              <w:end w:w="120" w:type="dxa"/>
            </w:tcMar>
          </w:tcPr>
          <w:p>
            <w:r>
              <w:rPr>
                <w:rFonts w:ascii="Calibri" w:hAnsi="Calibri"/>
                <w:b w:val="0"/>
                <w:color w:val="000000"/>
                <w:sz w:val="15"/>
              </w:rPr>
              <w:t>Facts/opinions/disputes separated</w:t>
            </w:r>
          </w:p>
        </w:tc>
        <w:tc>
          <w:tcPr>
            <w:tcW w:type="dxa" w:w="2380"/>
            <w:vAlign w:val="top"/>
            <w:tcMar>
              <w:top w:w="80" w:type="dxa"/>
              <w:bottom w:w="80" w:type="dxa"/>
              <w:start w:w="120" w:type="dxa"/>
              <w:end w:w="120" w:type="dxa"/>
            </w:tcMar>
          </w:tcPr>
          <w:p>
            <w:r>
              <w:rPr>
                <w:rFonts w:ascii="Calibri" w:hAnsi="Calibri"/>
                <w:b w:val="0"/>
                <w:color w:val="000000"/>
                <w:sz w:val="15"/>
              </w:rPr>
              <w:t>No automated legal or clinical conclusion</w:t>
            </w:r>
          </w:p>
        </w:tc>
      </w:tr>
    </w:tbl>
    <w:p>
      <w:pPr>
        <w:pStyle w:val="Heading1"/>
      </w:pPr>
      <w:r>
        <w:t>4. Claims register</w:t>
      </w:r>
    </w:p>
    <w:tbl>
      <w:tblPr>
        <w:tblStyle w:val="TableGrid"/>
        <w:tblW w:type="dxa" w:w="9360"/>
        <w:tblLayout w:type="fixed"/>
        <w:tblLook w:firstColumn="1" w:firstRow="1" w:lastColumn="0" w:lastRow="0" w:noHBand="0" w:noVBand="1" w:val="04A0"/>
        <w:jc w:val="left"/>
        <w:tblInd w:w="120" w:type="dxa"/>
      </w:tblPr>
      <w:tblGrid>
        <w:gridCol w:w="700"/>
        <w:gridCol w:w="2500"/>
        <w:gridCol w:w="1550"/>
        <w:gridCol w:w="2200"/>
        <w:gridCol w:w="2410"/>
      </w:tblGrid>
      <w:tr>
        <w:trPr>
          <w:tblHeader/>
        </w:trPr>
        <w:tc>
          <w:tcPr>
            <w:tcW w:type="dxa" w:w="700"/>
            <w:vAlign w:val="top"/>
            <w:tcMar>
              <w:top w:w="80" w:type="dxa"/>
              <w:bottom w:w="80" w:type="dxa"/>
              <w:start w:w="120" w:type="dxa"/>
              <w:end w:w="120" w:type="dxa"/>
            </w:tcMar>
            <w:shd w:fill="2E746E"/>
          </w:tcPr>
          <w:p>
            <w:r>
              <w:rPr>
                <w:rFonts w:ascii="Calibri" w:hAnsi="Calibri"/>
                <w:b/>
                <w:color w:val="FFFFFF"/>
                <w:sz w:val="18"/>
              </w:rPr>
              <w:t>ID</w:t>
            </w:r>
          </w:p>
        </w:tc>
        <w:tc>
          <w:tcPr>
            <w:tcW w:type="dxa" w:w="2500"/>
            <w:vAlign w:val="top"/>
            <w:tcMar>
              <w:top w:w="80" w:type="dxa"/>
              <w:bottom w:w="80" w:type="dxa"/>
              <w:start w:w="120" w:type="dxa"/>
              <w:end w:w="120" w:type="dxa"/>
            </w:tcMar>
            <w:shd w:fill="2E746E"/>
          </w:tcPr>
          <w:p>
            <w:r>
              <w:rPr>
                <w:rFonts w:ascii="Calibri" w:hAnsi="Calibri"/>
                <w:b/>
                <w:color w:val="FFFFFF"/>
                <w:sz w:val="18"/>
              </w:rPr>
              <w:t>Proposed claim</w:t>
            </w:r>
          </w:p>
        </w:tc>
        <w:tc>
          <w:tcPr>
            <w:tcW w:type="dxa" w:w="1550"/>
            <w:vAlign w:val="top"/>
            <w:tcMar>
              <w:top w:w="80" w:type="dxa"/>
              <w:bottom w:w="80" w:type="dxa"/>
              <w:start w:w="120" w:type="dxa"/>
              <w:end w:w="120" w:type="dxa"/>
            </w:tcMar>
            <w:shd w:fill="2E746E"/>
          </w:tcPr>
          <w:p>
            <w:r>
              <w:rPr>
                <w:rFonts w:ascii="Calibri" w:hAnsi="Calibri"/>
                <w:b/>
                <w:color w:val="FFFFFF"/>
                <w:sz w:val="18"/>
              </w:rPr>
              <w:t>Status</w:t>
            </w:r>
          </w:p>
        </w:tc>
        <w:tc>
          <w:tcPr>
            <w:tcW w:type="dxa" w:w="2200"/>
            <w:vAlign w:val="top"/>
            <w:tcMar>
              <w:top w:w="80" w:type="dxa"/>
              <w:bottom w:w="80" w:type="dxa"/>
              <w:start w:w="120" w:type="dxa"/>
              <w:end w:w="120" w:type="dxa"/>
            </w:tcMar>
            <w:shd w:fill="2E746E"/>
          </w:tcPr>
          <w:p>
            <w:r>
              <w:rPr>
                <w:rFonts w:ascii="Calibri" w:hAnsi="Calibri"/>
                <w:b/>
                <w:color w:val="FFFFFF"/>
                <w:sz w:val="18"/>
              </w:rPr>
              <w:t>Minimum substantiation</w:t>
            </w:r>
          </w:p>
        </w:tc>
        <w:tc>
          <w:tcPr>
            <w:tcW w:type="dxa" w:w="2410"/>
            <w:vAlign w:val="top"/>
            <w:tcMar>
              <w:top w:w="80" w:type="dxa"/>
              <w:bottom w:w="80" w:type="dxa"/>
              <w:start w:w="120" w:type="dxa"/>
              <w:end w:w="120" w:type="dxa"/>
            </w:tcMar>
            <w:shd w:fill="2E746E"/>
          </w:tcPr>
          <w:p>
            <w:r>
              <w:rPr>
                <w:rFonts w:ascii="Calibri" w:hAnsi="Calibri"/>
                <w:b/>
                <w:color w:val="FFFFFF"/>
                <w:sz w:val="18"/>
              </w:rPr>
              <w:t>Required limitation</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C-01</w:t>
            </w:r>
          </w:p>
        </w:tc>
        <w:tc>
          <w:tcPr>
            <w:tcW w:type="dxa" w:w="2500"/>
            <w:vAlign w:val="top"/>
            <w:tcMar>
              <w:top w:w="80" w:type="dxa"/>
              <w:bottom w:w="80" w:type="dxa"/>
              <w:start w:w="120" w:type="dxa"/>
              <w:end w:w="120" w:type="dxa"/>
            </w:tcMar>
          </w:tcPr>
          <w:p>
            <w:r>
              <w:rPr>
                <w:rFonts w:ascii="Calibri" w:hAnsi="Calibri"/>
                <w:b w:val="0"/>
                <w:color w:val="000000"/>
                <w:sz w:val="15"/>
              </w:rPr>
              <w:t>Helps families organise goals, learning and evidence</w:t>
            </w:r>
          </w:p>
        </w:tc>
        <w:tc>
          <w:tcPr>
            <w:tcW w:type="dxa" w:w="1550"/>
            <w:vAlign w:val="top"/>
            <w:tcMar>
              <w:top w:w="80" w:type="dxa"/>
              <w:bottom w:w="80" w:type="dxa"/>
              <w:start w:w="120" w:type="dxa"/>
              <w:end w:w="120" w:type="dxa"/>
            </w:tcMar>
          </w:tcPr>
          <w:p>
            <w:r>
              <w:rPr>
                <w:rFonts w:ascii="Calibri" w:hAnsi="Calibri"/>
                <w:b w:val="0"/>
                <w:color w:val="000000"/>
                <w:sz w:val="15"/>
              </w:rPr>
              <w:t>Permitted now</w:t>
            </w:r>
          </w:p>
        </w:tc>
        <w:tc>
          <w:tcPr>
            <w:tcW w:type="dxa" w:w="2200"/>
            <w:vAlign w:val="top"/>
            <w:tcMar>
              <w:top w:w="80" w:type="dxa"/>
              <w:bottom w:w="80" w:type="dxa"/>
              <w:start w:w="120" w:type="dxa"/>
              <w:end w:w="120" w:type="dxa"/>
            </w:tcMar>
          </w:tcPr>
          <w:p>
            <w:r>
              <w:rPr>
                <w:rFonts w:ascii="Calibri" w:hAnsi="Calibri"/>
                <w:b w:val="0"/>
                <w:color w:val="000000"/>
                <w:sz w:val="15"/>
              </w:rPr>
              <w:t>Product function testing</w:t>
            </w:r>
          </w:p>
        </w:tc>
        <w:tc>
          <w:tcPr>
            <w:tcW w:type="dxa" w:w="2410"/>
            <w:vAlign w:val="top"/>
            <w:tcMar>
              <w:top w:w="80" w:type="dxa"/>
              <w:bottom w:w="80" w:type="dxa"/>
              <w:start w:w="120" w:type="dxa"/>
              <w:end w:w="120" w:type="dxa"/>
            </w:tcMar>
          </w:tcPr>
          <w:p>
            <w:r>
              <w:rPr>
                <w:rFonts w:ascii="Calibri" w:hAnsi="Calibri"/>
                <w:b w:val="0"/>
                <w:color w:val="000000"/>
                <w:sz w:val="15"/>
              </w:rPr>
              <w:t>Education/support only</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C-02</w:t>
            </w:r>
          </w:p>
        </w:tc>
        <w:tc>
          <w:tcPr>
            <w:tcW w:type="dxa" w:w="2500"/>
            <w:vAlign w:val="top"/>
            <w:tcMar>
              <w:top w:w="80" w:type="dxa"/>
              <w:bottom w:w="80" w:type="dxa"/>
              <w:start w:w="120" w:type="dxa"/>
              <w:end w:w="120" w:type="dxa"/>
            </w:tcMar>
          </w:tcPr>
          <w:p>
            <w:r>
              <w:rPr>
                <w:rFonts w:ascii="Calibri" w:hAnsi="Calibri"/>
                <w:b w:val="0"/>
                <w:color w:val="000000"/>
                <w:sz w:val="15"/>
              </w:rPr>
              <w:t>Preserves progress across authorised worker changes</w:t>
            </w:r>
          </w:p>
        </w:tc>
        <w:tc>
          <w:tcPr>
            <w:tcW w:type="dxa" w:w="1550"/>
            <w:vAlign w:val="top"/>
            <w:tcMar>
              <w:top w:w="80" w:type="dxa"/>
              <w:bottom w:w="80" w:type="dxa"/>
              <w:start w:w="120" w:type="dxa"/>
              <w:end w:w="120" w:type="dxa"/>
            </w:tcMar>
          </w:tcPr>
          <w:p>
            <w:r>
              <w:rPr>
                <w:rFonts w:ascii="Calibri" w:hAnsi="Calibri"/>
                <w:b w:val="0"/>
                <w:color w:val="000000"/>
                <w:sz w:val="15"/>
              </w:rPr>
              <w:t>Permitted now</w:t>
            </w:r>
          </w:p>
        </w:tc>
        <w:tc>
          <w:tcPr>
            <w:tcW w:type="dxa" w:w="2200"/>
            <w:vAlign w:val="top"/>
            <w:tcMar>
              <w:top w:w="80" w:type="dxa"/>
              <w:bottom w:w="80" w:type="dxa"/>
              <w:start w:w="120" w:type="dxa"/>
              <w:end w:w="120" w:type="dxa"/>
            </w:tcMar>
          </w:tcPr>
          <w:p>
            <w:r>
              <w:rPr>
                <w:rFonts w:ascii="Calibri" w:hAnsi="Calibri"/>
                <w:b w:val="0"/>
                <w:color w:val="000000"/>
                <w:sz w:val="15"/>
              </w:rPr>
              <w:t>Audit/version/access tests</w:t>
            </w:r>
          </w:p>
        </w:tc>
        <w:tc>
          <w:tcPr>
            <w:tcW w:type="dxa" w:w="2410"/>
            <w:vAlign w:val="top"/>
            <w:tcMar>
              <w:top w:w="80" w:type="dxa"/>
              <w:bottom w:w="80" w:type="dxa"/>
              <w:start w:w="120" w:type="dxa"/>
              <w:end w:w="120" w:type="dxa"/>
            </w:tcMar>
          </w:tcPr>
          <w:p>
            <w:r>
              <w:rPr>
                <w:rFonts w:ascii="Calibri" w:hAnsi="Calibri"/>
                <w:b w:val="0"/>
                <w:color w:val="000000"/>
                <w:sz w:val="15"/>
              </w:rPr>
              <w:t>Subject to lawful retention/access</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C-03</w:t>
            </w:r>
          </w:p>
        </w:tc>
        <w:tc>
          <w:tcPr>
            <w:tcW w:type="dxa" w:w="2500"/>
            <w:vAlign w:val="top"/>
            <w:tcMar>
              <w:top w:w="80" w:type="dxa"/>
              <w:bottom w:w="80" w:type="dxa"/>
              <w:start w:w="120" w:type="dxa"/>
              <w:end w:w="120" w:type="dxa"/>
            </w:tcMar>
          </w:tcPr>
          <w:p>
            <w:r>
              <w:rPr>
                <w:rFonts w:ascii="Calibri" w:hAnsi="Calibri"/>
                <w:b w:val="0"/>
                <w:color w:val="000000"/>
                <w:sz w:val="15"/>
              </w:rPr>
              <w:t>Records timestamp and capture provenance</w:t>
            </w:r>
          </w:p>
        </w:tc>
        <w:tc>
          <w:tcPr>
            <w:tcW w:type="dxa" w:w="1550"/>
            <w:vAlign w:val="top"/>
            <w:tcMar>
              <w:top w:w="80" w:type="dxa"/>
              <w:bottom w:w="80" w:type="dxa"/>
              <w:start w:w="120" w:type="dxa"/>
              <w:end w:w="120" w:type="dxa"/>
            </w:tcMar>
          </w:tcPr>
          <w:p>
            <w:r>
              <w:rPr>
                <w:rFonts w:ascii="Calibri" w:hAnsi="Calibri"/>
                <w:b w:val="0"/>
                <w:color w:val="000000"/>
                <w:sz w:val="15"/>
              </w:rPr>
              <w:t>Permitted with qualification</w:t>
            </w:r>
          </w:p>
        </w:tc>
        <w:tc>
          <w:tcPr>
            <w:tcW w:type="dxa" w:w="2200"/>
            <w:vAlign w:val="top"/>
            <w:tcMar>
              <w:top w:w="80" w:type="dxa"/>
              <w:bottom w:w="80" w:type="dxa"/>
              <w:start w:w="120" w:type="dxa"/>
              <w:end w:w="120" w:type="dxa"/>
            </w:tcMar>
          </w:tcPr>
          <w:p>
            <w:r>
              <w:rPr>
                <w:rFonts w:ascii="Calibri" w:hAnsi="Calibri"/>
                <w:b w:val="0"/>
                <w:color w:val="000000"/>
                <w:sz w:val="15"/>
              </w:rPr>
              <w:t>Security and integrity validation</w:t>
            </w:r>
          </w:p>
        </w:tc>
        <w:tc>
          <w:tcPr>
            <w:tcW w:type="dxa" w:w="2410"/>
            <w:vAlign w:val="top"/>
            <w:tcMar>
              <w:top w:w="80" w:type="dxa"/>
              <w:bottom w:w="80" w:type="dxa"/>
              <w:start w:w="120" w:type="dxa"/>
              <w:end w:w="120" w:type="dxa"/>
            </w:tcMar>
          </w:tcPr>
          <w:p>
            <w:r>
              <w:rPr>
                <w:rFonts w:ascii="Calibri" w:hAnsi="Calibri"/>
                <w:b w:val="0"/>
                <w:color w:val="000000"/>
                <w:sz w:val="15"/>
              </w:rPr>
              <w:t>Do not claim a record is true or court-admissible</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C-04</w:t>
            </w:r>
          </w:p>
        </w:tc>
        <w:tc>
          <w:tcPr>
            <w:tcW w:type="dxa" w:w="2500"/>
            <w:vAlign w:val="top"/>
            <w:tcMar>
              <w:top w:w="80" w:type="dxa"/>
              <w:bottom w:w="80" w:type="dxa"/>
              <w:start w:w="120" w:type="dxa"/>
              <w:end w:w="120" w:type="dxa"/>
            </w:tcMar>
          </w:tcPr>
          <w:p>
            <w:r>
              <w:rPr>
                <w:rFonts w:ascii="Calibri" w:hAnsi="Calibri"/>
                <w:b w:val="0"/>
                <w:color w:val="000000"/>
                <w:sz w:val="15"/>
              </w:rPr>
              <w:t>Provides general emotional-support and coping prompts</w:t>
            </w:r>
          </w:p>
        </w:tc>
        <w:tc>
          <w:tcPr>
            <w:tcW w:type="dxa" w:w="1550"/>
            <w:vAlign w:val="top"/>
            <w:tcMar>
              <w:top w:w="80" w:type="dxa"/>
              <w:bottom w:w="80" w:type="dxa"/>
              <w:start w:w="120" w:type="dxa"/>
              <w:end w:w="120" w:type="dxa"/>
            </w:tcMar>
          </w:tcPr>
          <w:p>
            <w:r>
              <w:rPr>
                <w:rFonts w:ascii="Calibri" w:hAnsi="Calibri"/>
                <w:b w:val="0"/>
                <w:color w:val="000000"/>
                <w:sz w:val="15"/>
              </w:rPr>
              <w:t>Permitted with safeguards</w:t>
            </w:r>
          </w:p>
        </w:tc>
        <w:tc>
          <w:tcPr>
            <w:tcW w:type="dxa" w:w="2200"/>
            <w:vAlign w:val="top"/>
            <w:tcMar>
              <w:top w:w="80" w:type="dxa"/>
              <w:bottom w:w="80" w:type="dxa"/>
              <w:start w:w="120" w:type="dxa"/>
              <w:end w:w="120" w:type="dxa"/>
            </w:tcMar>
          </w:tcPr>
          <w:p>
            <w:r>
              <w:rPr>
                <w:rFonts w:ascii="Calibri" w:hAnsi="Calibri"/>
                <w:b w:val="0"/>
                <w:color w:val="000000"/>
                <w:sz w:val="15"/>
              </w:rPr>
              <w:t>Content review, crisis and usability testing</w:t>
            </w:r>
          </w:p>
        </w:tc>
        <w:tc>
          <w:tcPr>
            <w:tcW w:type="dxa" w:w="2410"/>
            <w:vAlign w:val="top"/>
            <w:tcMar>
              <w:top w:w="80" w:type="dxa"/>
              <w:bottom w:w="80" w:type="dxa"/>
              <w:start w:w="120" w:type="dxa"/>
              <w:end w:w="120" w:type="dxa"/>
            </w:tcMar>
          </w:tcPr>
          <w:p>
            <w:r>
              <w:rPr>
                <w:rFonts w:ascii="Calibri" w:hAnsi="Calibri"/>
                <w:b w:val="0"/>
                <w:color w:val="000000"/>
                <w:sz w:val="15"/>
              </w:rPr>
              <w:t>Not counselling, diagnosis or treatment</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C-05</w:t>
            </w:r>
          </w:p>
        </w:tc>
        <w:tc>
          <w:tcPr>
            <w:tcW w:type="dxa" w:w="2500"/>
            <w:vAlign w:val="top"/>
            <w:tcMar>
              <w:top w:w="80" w:type="dxa"/>
              <w:bottom w:w="80" w:type="dxa"/>
              <w:start w:w="120" w:type="dxa"/>
              <w:end w:w="120" w:type="dxa"/>
            </w:tcMar>
          </w:tcPr>
          <w:p>
            <w:r>
              <w:rPr>
                <w:rFonts w:ascii="Calibri" w:hAnsi="Calibri"/>
                <w:b w:val="0"/>
                <w:color w:val="000000"/>
                <w:sz w:val="15"/>
              </w:rPr>
              <w:t>Administers a named preliminary screening instrument</w:t>
            </w:r>
          </w:p>
        </w:tc>
        <w:tc>
          <w:tcPr>
            <w:tcW w:type="dxa" w:w="1550"/>
            <w:vAlign w:val="top"/>
            <w:tcMar>
              <w:top w:w="80" w:type="dxa"/>
              <w:bottom w:w="80" w:type="dxa"/>
              <w:start w:w="120" w:type="dxa"/>
              <w:end w:w="120" w:type="dxa"/>
            </w:tcMar>
          </w:tcPr>
          <w:p>
            <w:r>
              <w:rPr>
                <w:rFonts w:ascii="Calibri" w:hAnsi="Calibri"/>
                <w:b w:val="0"/>
                <w:color w:val="000000"/>
                <w:sz w:val="15"/>
              </w:rPr>
              <w:t>Hold pending instrument and regulatory approval</w:t>
            </w:r>
          </w:p>
        </w:tc>
        <w:tc>
          <w:tcPr>
            <w:tcW w:type="dxa" w:w="2200"/>
            <w:vAlign w:val="top"/>
            <w:tcMar>
              <w:top w:w="80" w:type="dxa"/>
              <w:bottom w:w="80" w:type="dxa"/>
              <w:start w:w="120" w:type="dxa"/>
              <w:end w:w="120" w:type="dxa"/>
            </w:tcMar>
          </w:tcPr>
          <w:p>
            <w:r>
              <w:rPr>
                <w:rFonts w:ascii="Calibri" w:hAnsi="Calibri"/>
                <w:b w:val="0"/>
                <w:color w:val="000000"/>
                <w:sz w:val="15"/>
              </w:rPr>
              <w:t>Licence, digital equivalence, scoring and clinical evidence</w:t>
            </w:r>
          </w:p>
        </w:tc>
        <w:tc>
          <w:tcPr>
            <w:tcW w:type="dxa" w:w="2410"/>
            <w:vAlign w:val="top"/>
            <w:tcMar>
              <w:top w:w="80" w:type="dxa"/>
              <w:bottom w:w="80" w:type="dxa"/>
              <w:start w:w="120" w:type="dxa"/>
              <w:end w:w="120" w:type="dxa"/>
            </w:tcMar>
          </w:tcPr>
          <w:p>
            <w:r>
              <w:rPr>
                <w:rFonts w:ascii="Calibri" w:hAnsi="Calibri"/>
                <w:b w:val="0"/>
                <w:color w:val="000000"/>
                <w:sz w:val="15"/>
              </w:rPr>
              <w:t>Show population, limits and “not a diagnosis”</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C-06</w:t>
            </w:r>
          </w:p>
        </w:tc>
        <w:tc>
          <w:tcPr>
            <w:tcW w:type="dxa" w:w="2500"/>
            <w:vAlign w:val="top"/>
            <w:tcMar>
              <w:top w:w="80" w:type="dxa"/>
              <w:bottom w:w="80" w:type="dxa"/>
              <w:start w:w="120" w:type="dxa"/>
              <w:end w:w="120" w:type="dxa"/>
            </w:tcMar>
          </w:tcPr>
          <w:p>
            <w:r>
              <w:rPr>
                <w:rFonts w:ascii="Calibri" w:hAnsi="Calibri"/>
                <w:b w:val="0"/>
                <w:color w:val="000000"/>
                <w:sz w:val="15"/>
              </w:rPr>
              <w:t>Identifies a possible area requiring professional review</w:t>
            </w:r>
          </w:p>
        </w:tc>
        <w:tc>
          <w:tcPr>
            <w:tcW w:type="dxa" w:w="1550"/>
            <w:vAlign w:val="top"/>
            <w:tcMar>
              <w:top w:w="80" w:type="dxa"/>
              <w:bottom w:w="80" w:type="dxa"/>
              <w:start w:w="120" w:type="dxa"/>
              <w:end w:w="120" w:type="dxa"/>
            </w:tcMar>
          </w:tcPr>
          <w:p>
            <w:r>
              <w:rPr>
                <w:rFonts w:ascii="Calibri" w:hAnsi="Calibri"/>
                <w:b w:val="0"/>
                <w:color w:val="000000"/>
                <w:sz w:val="15"/>
              </w:rPr>
              <w:t>Hold pending validation</w:t>
            </w:r>
          </w:p>
        </w:tc>
        <w:tc>
          <w:tcPr>
            <w:tcW w:type="dxa" w:w="2200"/>
            <w:vAlign w:val="top"/>
            <w:tcMar>
              <w:top w:w="80" w:type="dxa"/>
              <w:bottom w:w="80" w:type="dxa"/>
              <w:start w:w="120" w:type="dxa"/>
              <w:end w:w="120" w:type="dxa"/>
            </w:tcMar>
          </w:tcPr>
          <w:p>
            <w:r>
              <w:rPr>
                <w:rFonts w:ascii="Calibri" w:hAnsi="Calibri"/>
                <w:b w:val="0"/>
                <w:color w:val="000000"/>
                <w:sz w:val="15"/>
              </w:rPr>
              <w:t>Performance and safety evidence</w:t>
            </w:r>
          </w:p>
        </w:tc>
        <w:tc>
          <w:tcPr>
            <w:tcW w:type="dxa" w:w="2410"/>
            <w:vAlign w:val="top"/>
            <w:tcMar>
              <w:top w:w="80" w:type="dxa"/>
              <w:bottom w:w="80" w:type="dxa"/>
              <w:start w:w="120" w:type="dxa"/>
              <w:end w:w="120" w:type="dxa"/>
            </w:tcMar>
          </w:tcPr>
          <w:p>
            <w:r>
              <w:rPr>
                <w:rFonts w:ascii="Calibri" w:hAnsi="Calibri"/>
                <w:b w:val="0"/>
                <w:color w:val="000000"/>
                <w:sz w:val="15"/>
              </w:rPr>
              <w:t>No disease finding or treatment recommendation</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C-07</w:t>
            </w:r>
          </w:p>
        </w:tc>
        <w:tc>
          <w:tcPr>
            <w:tcW w:type="dxa" w:w="2500"/>
            <w:vAlign w:val="top"/>
            <w:tcMar>
              <w:top w:w="80" w:type="dxa"/>
              <w:bottom w:w="80" w:type="dxa"/>
              <w:start w:w="120" w:type="dxa"/>
              <w:end w:w="120" w:type="dxa"/>
            </w:tcMar>
          </w:tcPr>
          <w:p>
            <w:r>
              <w:rPr>
                <w:rFonts w:ascii="Calibri" w:hAnsi="Calibri"/>
                <w:b w:val="0"/>
                <w:color w:val="000000"/>
                <w:sz w:val="15"/>
              </w:rPr>
              <w:t>Compares governed screening results over time</w:t>
            </w:r>
          </w:p>
        </w:tc>
        <w:tc>
          <w:tcPr>
            <w:tcW w:type="dxa" w:w="1550"/>
            <w:vAlign w:val="top"/>
            <w:tcMar>
              <w:top w:w="80" w:type="dxa"/>
              <w:bottom w:w="80" w:type="dxa"/>
              <w:start w:w="120" w:type="dxa"/>
              <w:end w:w="120" w:type="dxa"/>
            </w:tcMar>
          </w:tcPr>
          <w:p>
            <w:r>
              <w:rPr>
                <w:rFonts w:ascii="Calibri" w:hAnsi="Calibri"/>
                <w:b w:val="0"/>
                <w:color w:val="000000"/>
                <w:sz w:val="15"/>
              </w:rPr>
              <w:t>Hold pending validation</w:t>
            </w:r>
          </w:p>
        </w:tc>
        <w:tc>
          <w:tcPr>
            <w:tcW w:type="dxa" w:w="2200"/>
            <w:vAlign w:val="top"/>
            <w:tcMar>
              <w:top w:w="80" w:type="dxa"/>
              <w:bottom w:w="80" w:type="dxa"/>
              <w:start w:w="120" w:type="dxa"/>
              <w:end w:w="120" w:type="dxa"/>
            </w:tcMar>
          </w:tcPr>
          <w:p>
            <w:r>
              <w:rPr>
                <w:rFonts w:ascii="Calibri" w:hAnsi="Calibri"/>
                <w:b w:val="0"/>
                <w:color w:val="000000"/>
                <w:sz w:val="15"/>
              </w:rPr>
              <w:t>Version mapping, measurement and subgroup evidence</w:t>
            </w:r>
          </w:p>
        </w:tc>
        <w:tc>
          <w:tcPr>
            <w:tcW w:type="dxa" w:w="2410"/>
            <w:vAlign w:val="top"/>
            <w:tcMar>
              <w:top w:w="80" w:type="dxa"/>
              <w:bottom w:w="80" w:type="dxa"/>
              <w:start w:w="120" w:type="dxa"/>
              <w:end w:w="120" w:type="dxa"/>
            </w:tcMar>
          </w:tcPr>
          <w:p>
            <w:r>
              <w:rPr>
                <w:rFonts w:ascii="Calibri" w:hAnsi="Calibri"/>
                <w:b w:val="0"/>
                <w:color w:val="000000"/>
                <w:sz w:val="15"/>
              </w:rPr>
              <w:t>No unsupported claim of improvement or deterioration</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C-08</w:t>
            </w:r>
          </w:p>
        </w:tc>
        <w:tc>
          <w:tcPr>
            <w:tcW w:type="dxa" w:w="2500"/>
            <w:vAlign w:val="top"/>
            <w:tcMar>
              <w:top w:w="80" w:type="dxa"/>
              <w:bottom w:w="80" w:type="dxa"/>
              <w:start w:w="120" w:type="dxa"/>
              <w:end w:w="120" w:type="dxa"/>
            </w:tcMar>
          </w:tcPr>
          <w:p>
            <w:r>
              <w:rPr>
                <w:rFonts w:ascii="Calibri" w:hAnsi="Calibri"/>
                <w:b w:val="0"/>
                <w:color w:val="000000"/>
                <w:sz w:val="15"/>
              </w:rPr>
              <w:t>Prepares a source-linked preliminary assessment bundle</w:t>
            </w:r>
          </w:p>
        </w:tc>
        <w:tc>
          <w:tcPr>
            <w:tcW w:type="dxa" w:w="1550"/>
            <w:vAlign w:val="top"/>
            <w:tcMar>
              <w:top w:w="80" w:type="dxa"/>
              <w:bottom w:w="80" w:type="dxa"/>
              <w:start w:w="120" w:type="dxa"/>
              <w:end w:w="120" w:type="dxa"/>
            </w:tcMar>
          </w:tcPr>
          <w:p>
            <w:r>
              <w:rPr>
                <w:rFonts w:ascii="Calibri" w:hAnsi="Calibri"/>
                <w:b w:val="0"/>
                <w:color w:val="000000"/>
                <w:sz w:val="15"/>
              </w:rPr>
              <w:t>Permitted only as unreviewed draft</w:t>
            </w:r>
          </w:p>
        </w:tc>
        <w:tc>
          <w:tcPr>
            <w:tcW w:type="dxa" w:w="2200"/>
            <w:vAlign w:val="top"/>
            <w:tcMar>
              <w:top w:w="80" w:type="dxa"/>
              <w:bottom w:w="80" w:type="dxa"/>
              <w:start w:w="120" w:type="dxa"/>
              <w:end w:w="120" w:type="dxa"/>
            </w:tcMar>
          </w:tcPr>
          <w:p>
            <w:r>
              <w:rPr>
                <w:rFonts w:ascii="Calibri" w:hAnsi="Calibri"/>
                <w:b w:val="0"/>
                <w:color w:val="000000"/>
                <w:sz w:val="15"/>
              </w:rPr>
              <w:t>Completeness, traceability and hallucination tests</w:t>
            </w:r>
          </w:p>
        </w:tc>
        <w:tc>
          <w:tcPr>
            <w:tcW w:type="dxa" w:w="2410"/>
            <w:vAlign w:val="top"/>
            <w:tcMar>
              <w:top w:w="80" w:type="dxa"/>
              <w:bottom w:w="80" w:type="dxa"/>
              <w:start w:w="120" w:type="dxa"/>
              <w:end w:w="120" w:type="dxa"/>
            </w:tcMar>
          </w:tcPr>
          <w:p>
            <w:r>
              <w:rPr>
                <w:rFonts w:ascii="Calibri" w:hAnsi="Calibri"/>
                <w:b w:val="0"/>
                <w:color w:val="000000"/>
                <w:sz w:val="15"/>
              </w:rPr>
              <w:t>No professional or forensic status</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C-09</w:t>
            </w:r>
          </w:p>
        </w:tc>
        <w:tc>
          <w:tcPr>
            <w:tcW w:type="dxa" w:w="2500"/>
            <w:vAlign w:val="top"/>
            <w:tcMar>
              <w:top w:w="80" w:type="dxa"/>
              <w:bottom w:w="80" w:type="dxa"/>
              <w:start w:w="120" w:type="dxa"/>
              <w:end w:w="120" w:type="dxa"/>
            </w:tcMar>
          </w:tcPr>
          <w:p>
            <w:r>
              <w:rPr>
                <w:rFonts w:ascii="Calibri" w:hAnsi="Calibri"/>
                <w:b w:val="0"/>
                <w:color w:val="000000"/>
                <w:sz w:val="15"/>
              </w:rPr>
              <w:t>A registered professional can independently review material</w:t>
            </w:r>
          </w:p>
        </w:tc>
        <w:tc>
          <w:tcPr>
            <w:tcW w:type="dxa" w:w="1550"/>
            <w:vAlign w:val="top"/>
            <w:tcMar>
              <w:top w:w="80" w:type="dxa"/>
              <w:bottom w:w="80" w:type="dxa"/>
              <w:start w:w="120" w:type="dxa"/>
              <w:end w:w="120" w:type="dxa"/>
            </w:tcMar>
          </w:tcPr>
          <w:p>
            <w:r>
              <w:rPr>
                <w:rFonts w:ascii="Calibri" w:hAnsi="Calibri"/>
                <w:b w:val="0"/>
                <w:color w:val="000000"/>
                <w:sz w:val="15"/>
              </w:rPr>
              <w:t>Permitted with governance</w:t>
            </w:r>
          </w:p>
        </w:tc>
        <w:tc>
          <w:tcPr>
            <w:tcW w:type="dxa" w:w="2200"/>
            <w:vAlign w:val="top"/>
            <w:tcMar>
              <w:top w:w="80" w:type="dxa"/>
              <w:bottom w:w="80" w:type="dxa"/>
              <w:start w:w="120" w:type="dxa"/>
              <w:end w:w="120" w:type="dxa"/>
            </w:tcMar>
          </w:tcPr>
          <w:p>
            <w:r>
              <w:rPr>
                <w:rFonts w:ascii="Calibri" w:hAnsi="Calibri"/>
                <w:b w:val="0"/>
                <w:color w:val="000000"/>
                <w:sz w:val="15"/>
              </w:rPr>
              <w:t>Registration, scope, signature and audit controls</w:t>
            </w:r>
          </w:p>
        </w:tc>
        <w:tc>
          <w:tcPr>
            <w:tcW w:type="dxa" w:w="2410"/>
            <w:vAlign w:val="top"/>
            <w:tcMar>
              <w:top w:w="80" w:type="dxa"/>
              <w:bottom w:w="80" w:type="dxa"/>
              <w:start w:w="120" w:type="dxa"/>
              <w:end w:w="120" w:type="dxa"/>
            </w:tcMar>
          </w:tcPr>
          <w:p>
            <w:r>
              <w:rPr>
                <w:rFonts w:ascii="Calibri" w:hAnsi="Calibri"/>
                <w:b w:val="0"/>
                <w:color w:val="000000"/>
                <w:sz w:val="15"/>
              </w:rPr>
              <w:t>Practitioner owns conclusion</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C-10</w:t>
            </w:r>
          </w:p>
        </w:tc>
        <w:tc>
          <w:tcPr>
            <w:tcW w:type="dxa" w:w="2500"/>
            <w:vAlign w:val="top"/>
            <w:tcMar>
              <w:top w:w="80" w:type="dxa"/>
              <w:bottom w:w="80" w:type="dxa"/>
              <w:start w:w="120" w:type="dxa"/>
              <w:end w:w="120" w:type="dxa"/>
            </w:tcMar>
          </w:tcPr>
          <w:p>
            <w:r>
              <w:rPr>
                <w:rFonts w:ascii="Calibri" w:hAnsi="Calibri"/>
                <w:b w:val="0"/>
                <w:color w:val="000000"/>
                <w:sz w:val="15"/>
              </w:rPr>
              <w:t>Produces an official psychological assessment</w:t>
            </w:r>
          </w:p>
        </w:tc>
        <w:tc>
          <w:tcPr>
            <w:tcW w:type="dxa" w:w="1550"/>
            <w:vAlign w:val="top"/>
            <w:tcMar>
              <w:top w:w="80" w:type="dxa"/>
              <w:bottom w:w="80" w:type="dxa"/>
              <w:start w:w="120" w:type="dxa"/>
              <w:end w:w="120" w:type="dxa"/>
            </w:tcMar>
          </w:tcPr>
          <w:p>
            <w:r>
              <w:rPr>
                <w:rFonts w:ascii="Calibri" w:hAnsi="Calibri"/>
                <w:b w:val="0"/>
                <w:color w:val="000000"/>
                <w:sz w:val="15"/>
              </w:rPr>
              <w:t>Prohibited as a system claim</w:t>
            </w:r>
          </w:p>
        </w:tc>
        <w:tc>
          <w:tcPr>
            <w:tcW w:type="dxa" w:w="2200"/>
            <w:vAlign w:val="top"/>
            <w:tcMar>
              <w:top w:w="80" w:type="dxa"/>
              <w:bottom w:w="80" w:type="dxa"/>
              <w:start w:w="120" w:type="dxa"/>
              <w:end w:w="120" w:type="dxa"/>
            </w:tcMar>
          </w:tcPr>
          <w:p>
            <w:r>
              <w:rPr>
                <w:rFonts w:ascii="Calibri" w:hAnsi="Calibri"/>
                <w:b w:val="0"/>
                <w:color w:val="000000"/>
                <w:sz w:val="15"/>
              </w:rPr>
              <w:t>Only practitioner-authored service may qualify</w:t>
            </w:r>
          </w:p>
        </w:tc>
        <w:tc>
          <w:tcPr>
            <w:tcW w:type="dxa" w:w="2410"/>
            <w:vAlign w:val="top"/>
            <w:tcMar>
              <w:top w:w="80" w:type="dxa"/>
              <w:bottom w:w="80" w:type="dxa"/>
              <w:start w:w="120" w:type="dxa"/>
              <w:end w:w="120" w:type="dxa"/>
            </w:tcMar>
          </w:tcPr>
          <w:p>
            <w:r>
              <w:rPr>
                <w:rFonts w:ascii="Calibri" w:hAnsi="Calibri"/>
                <w:b w:val="0"/>
                <w:color w:val="000000"/>
                <w:sz w:val="15"/>
              </w:rPr>
              <w:t>Never imply SafeSteps signs or validates it</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C-11</w:t>
            </w:r>
          </w:p>
        </w:tc>
        <w:tc>
          <w:tcPr>
            <w:tcW w:type="dxa" w:w="2500"/>
            <w:vAlign w:val="top"/>
            <w:tcMar>
              <w:top w:w="80" w:type="dxa"/>
              <w:bottom w:w="80" w:type="dxa"/>
              <w:start w:w="120" w:type="dxa"/>
              <w:end w:w="120" w:type="dxa"/>
            </w:tcMar>
          </w:tcPr>
          <w:p>
            <w:r>
              <w:rPr>
                <w:rFonts w:ascii="Calibri" w:hAnsi="Calibri"/>
                <w:b w:val="0"/>
                <w:color w:val="000000"/>
                <w:sz w:val="15"/>
              </w:rPr>
              <w:t>Produces a forensic assessment for court</w:t>
            </w:r>
          </w:p>
        </w:tc>
        <w:tc>
          <w:tcPr>
            <w:tcW w:type="dxa" w:w="1550"/>
            <w:vAlign w:val="top"/>
            <w:tcMar>
              <w:top w:w="80" w:type="dxa"/>
              <w:bottom w:w="80" w:type="dxa"/>
              <w:start w:w="120" w:type="dxa"/>
              <w:end w:w="120" w:type="dxa"/>
            </w:tcMar>
          </w:tcPr>
          <w:p>
            <w:r>
              <w:rPr>
                <w:rFonts w:ascii="Calibri" w:hAnsi="Calibri"/>
                <w:b w:val="0"/>
                <w:color w:val="000000"/>
                <w:sz w:val="15"/>
              </w:rPr>
              <w:t>Prohibited as a system claim</w:t>
            </w:r>
          </w:p>
        </w:tc>
        <w:tc>
          <w:tcPr>
            <w:tcW w:type="dxa" w:w="2200"/>
            <w:vAlign w:val="top"/>
            <w:tcMar>
              <w:top w:w="80" w:type="dxa"/>
              <w:bottom w:w="80" w:type="dxa"/>
              <w:start w:w="120" w:type="dxa"/>
              <w:end w:w="120" w:type="dxa"/>
            </w:tcMar>
          </w:tcPr>
          <w:p>
            <w:r>
              <w:rPr>
                <w:rFonts w:ascii="Calibri" w:hAnsi="Calibri"/>
                <w:b w:val="0"/>
                <w:color w:val="000000"/>
                <w:sz w:val="15"/>
              </w:rPr>
              <w:t>Independent qualified forensic process required</w:t>
            </w:r>
          </w:p>
        </w:tc>
        <w:tc>
          <w:tcPr>
            <w:tcW w:type="dxa" w:w="2410"/>
            <w:vAlign w:val="top"/>
            <w:tcMar>
              <w:top w:w="80" w:type="dxa"/>
              <w:bottom w:w="80" w:type="dxa"/>
              <w:start w:w="120" w:type="dxa"/>
              <w:end w:w="120" w:type="dxa"/>
            </w:tcMar>
          </w:tcPr>
          <w:p>
            <w:r>
              <w:rPr>
                <w:rFonts w:ascii="Calibri" w:hAnsi="Calibri"/>
                <w:b w:val="0"/>
                <w:color w:val="000000"/>
                <w:sz w:val="15"/>
              </w:rPr>
              <w:t>Platform may only organise authorised material</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C-12</w:t>
            </w:r>
          </w:p>
        </w:tc>
        <w:tc>
          <w:tcPr>
            <w:tcW w:type="dxa" w:w="2500"/>
            <w:vAlign w:val="top"/>
            <w:tcMar>
              <w:top w:w="80" w:type="dxa"/>
              <w:bottom w:w="80" w:type="dxa"/>
              <w:start w:w="120" w:type="dxa"/>
              <w:end w:w="120" w:type="dxa"/>
            </w:tcMar>
          </w:tcPr>
          <w:p>
            <w:r>
              <w:rPr>
                <w:rFonts w:ascii="Calibri" w:hAnsi="Calibri"/>
                <w:b w:val="0"/>
                <w:color w:val="000000"/>
                <w:sz w:val="15"/>
              </w:rPr>
              <w:t>Assesses parent-child communication or attachment</w:t>
            </w:r>
          </w:p>
        </w:tc>
        <w:tc>
          <w:tcPr>
            <w:tcW w:type="dxa" w:w="1550"/>
            <w:vAlign w:val="top"/>
            <w:tcMar>
              <w:top w:w="80" w:type="dxa"/>
              <w:bottom w:w="80" w:type="dxa"/>
              <w:start w:w="120" w:type="dxa"/>
              <w:end w:w="120" w:type="dxa"/>
            </w:tcMar>
          </w:tcPr>
          <w:p>
            <w:r>
              <w:rPr>
                <w:rFonts w:ascii="Calibri" w:hAnsi="Calibri"/>
                <w:b w:val="0"/>
                <w:color w:val="000000"/>
                <w:sz w:val="15"/>
              </w:rPr>
              <w:t>Hold - high risk</w:t>
            </w:r>
          </w:p>
        </w:tc>
        <w:tc>
          <w:tcPr>
            <w:tcW w:type="dxa" w:w="2200"/>
            <w:vAlign w:val="top"/>
            <w:tcMar>
              <w:top w:w="80" w:type="dxa"/>
              <w:bottom w:w="80" w:type="dxa"/>
              <w:start w:w="120" w:type="dxa"/>
              <w:end w:w="120" w:type="dxa"/>
            </w:tcMar>
          </w:tcPr>
          <w:p>
            <w:r>
              <w:rPr>
                <w:rFonts w:ascii="Calibri" w:hAnsi="Calibri"/>
                <w:b w:val="0"/>
                <w:color w:val="000000"/>
                <w:sz w:val="15"/>
              </w:rPr>
              <w:t>Construct validity, consent, bias and clinical evidence</w:t>
            </w:r>
          </w:p>
        </w:tc>
        <w:tc>
          <w:tcPr>
            <w:tcW w:type="dxa" w:w="2410"/>
            <w:vAlign w:val="top"/>
            <w:tcMar>
              <w:top w:w="80" w:type="dxa"/>
              <w:bottom w:w="80" w:type="dxa"/>
              <w:start w:w="120" w:type="dxa"/>
              <w:end w:w="120" w:type="dxa"/>
            </w:tcMar>
          </w:tcPr>
          <w:p>
            <w:r>
              <w:rPr>
                <w:rFonts w:ascii="Calibri" w:hAnsi="Calibri"/>
                <w:b w:val="0"/>
                <w:color w:val="000000"/>
                <w:sz w:val="15"/>
              </w:rPr>
              <w:t>No automated attachment diagnosis or parenting judgment</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C-13</w:t>
            </w:r>
          </w:p>
        </w:tc>
        <w:tc>
          <w:tcPr>
            <w:tcW w:type="dxa" w:w="2500"/>
            <w:vAlign w:val="top"/>
            <w:tcMar>
              <w:top w:w="80" w:type="dxa"/>
              <w:bottom w:w="80" w:type="dxa"/>
              <w:start w:w="120" w:type="dxa"/>
              <w:end w:w="120" w:type="dxa"/>
            </w:tcMar>
          </w:tcPr>
          <w:p>
            <w:r>
              <w:rPr>
                <w:rFonts w:ascii="Calibri" w:hAnsi="Calibri"/>
                <w:b w:val="0"/>
                <w:color w:val="000000"/>
                <w:sz w:val="15"/>
              </w:rPr>
              <w:t>Proves a parent has changed</w:t>
            </w:r>
          </w:p>
        </w:tc>
        <w:tc>
          <w:tcPr>
            <w:tcW w:type="dxa" w:w="1550"/>
            <w:vAlign w:val="top"/>
            <w:tcMar>
              <w:top w:w="80" w:type="dxa"/>
              <w:bottom w:w="80" w:type="dxa"/>
              <w:start w:w="120" w:type="dxa"/>
              <w:end w:w="120" w:type="dxa"/>
            </w:tcMar>
          </w:tcPr>
          <w:p>
            <w:r>
              <w:rPr>
                <w:rFonts w:ascii="Calibri" w:hAnsi="Calibri"/>
                <w:b w:val="0"/>
                <w:color w:val="000000"/>
                <w:sz w:val="15"/>
              </w:rPr>
              <w:t>Prohibited</w:t>
            </w:r>
          </w:p>
        </w:tc>
        <w:tc>
          <w:tcPr>
            <w:tcW w:type="dxa" w:w="2200"/>
            <w:vAlign w:val="top"/>
            <w:tcMar>
              <w:top w:w="80" w:type="dxa"/>
              <w:bottom w:w="80" w:type="dxa"/>
              <w:start w:w="120" w:type="dxa"/>
              <w:end w:w="120" w:type="dxa"/>
            </w:tcMar>
          </w:tcPr>
          <w:p>
            <w:r>
              <w:rPr>
                <w:rFonts w:ascii="Calibri" w:hAnsi="Calibri"/>
                <w:b w:val="0"/>
                <w:color w:val="000000"/>
                <w:sz w:val="15"/>
              </w:rPr>
              <w:t>No single system can prove the ultimate conclusion</w:t>
            </w:r>
          </w:p>
        </w:tc>
        <w:tc>
          <w:tcPr>
            <w:tcW w:type="dxa" w:w="2410"/>
            <w:vAlign w:val="top"/>
            <w:tcMar>
              <w:top w:w="80" w:type="dxa"/>
              <w:bottom w:w="80" w:type="dxa"/>
              <w:start w:w="120" w:type="dxa"/>
              <w:end w:w="120" w:type="dxa"/>
            </w:tcMar>
          </w:tcPr>
          <w:p>
            <w:r>
              <w:rPr>
                <w:rFonts w:ascii="Calibri" w:hAnsi="Calibri"/>
                <w:b w:val="0"/>
                <w:color w:val="000000"/>
                <w:sz w:val="15"/>
              </w:rPr>
              <w:t>Use “records evidence relevant to change over time”</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C-14</w:t>
            </w:r>
          </w:p>
        </w:tc>
        <w:tc>
          <w:tcPr>
            <w:tcW w:type="dxa" w:w="2500"/>
            <w:vAlign w:val="top"/>
            <w:tcMar>
              <w:top w:w="80" w:type="dxa"/>
              <w:bottom w:w="80" w:type="dxa"/>
              <w:start w:w="120" w:type="dxa"/>
              <w:end w:w="120" w:type="dxa"/>
            </w:tcMar>
          </w:tcPr>
          <w:p>
            <w:r>
              <w:rPr>
                <w:rFonts w:ascii="Calibri" w:hAnsi="Calibri"/>
                <w:b w:val="0"/>
                <w:color w:val="000000"/>
                <w:sz w:val="15"/>
              </w:rPr>
              <w:t>Predicts child-safety risk or reunification success</w:t>
            </w:r>
          </w:p>
        </w:tc>
        <w:tc>
          <w:tcPr>
            <w:tcW w:type="dxa" w:w="1550"/>
            <w:vAlign w:val="top"/>
            <w:tcMar>
              <w:top w:w="80" w:type="dxa"/>
              <w:bottom w:w="80" w:type="dxa"/>
              <w:start w:w="120" w:type="dxa"/>
              <w:end w:w="120" w:type="dxa"/>
            </w:tcMar>
          </w:tcPr>
          <w:p>
            <w:r>
              <w:rPr>
                <w:rFonts w:ascii="Calibri" w:hAnsi="Calibri"/>
                <w:b w:val="0"/>
                <w:color w:val="000000"/>
                <w:sz w:val="15"/>
              </w:rPr>
              <w:t>Prohibited pending separate approval</w:t>
            </w:r>
          </w:p>
        </w:tc>
        <w:tc>
          <w:tcPr>
            <w:tcW w:type="dxa" w:w="2200"/>
            <w:vAlign w:val="top"/>
            <w:tcMar>
              <w:top w:w="80" w:type="dxa"/>
              <w:bottom w:w="80" w:type="dxa"/>
              <w:start w:w="120" w:type="dxa"/>
              <w:end w:w="120" w:type="dxa"/>
            </w:tcMar>
          </w:tcPr>
          <w:p>
            <w:r>
              <w:rPr>
                <w:rFonts w:ascii="Calibri" w:hAnsi="Calibri"/>
                <w:b w:val="0"/>
                <w:color w:val="000000"/>
                <w:sz w:val="15"/>
              </w:rPr>
              <w:t>Would require a new intended purpose and evidence program</w:t>
            </w:r>
          </w:p>
        </w:tc>
        <w:tc>
          <w:tcPr>
            <w:tcW w:type="dxa" w:w="2410"/>
            <w:vAlign w:val="top"/>
            <w:tcMar>
              <w:top w:w="80" w:type="dxa"/>
              <w:bottom w:w="80" w:type="dxa"/>
              <w:start w:w="120" w:type="dxa"/>
              <w:end w:w="120" w:type="dxa"/>
            </w:tcMar>
          </w:tcPr>
          <w:p>
            <w:r>
              <w:rPr>
                <w:rFonts w:ascii="Calibri" w:hAnsi="Calibri"/>
                <w:b w:val="0"/>
                <w:color w:val="000000"/>
                <w:sz w:val="15"/>
              </w:rPr>
              <w:t>Never used for automatic case decisions</w:t>
            </w:r>
          </w:p>
        </w:tc>
      </w:tr>
      <w:tr>
        <w:trPr>
          <w:cantSplit/>
        </w:trPr>
        <w:tc>
          <w:tcPr>
            <w:tcW w:type="dxa" w:w="700"/>
            <w:vAlign w:val="top"/>
            <w:tcMar>
              <w:top w:w="80" w:type="dxa"/>
              <w:bottom w:w="80" w:type="dxa"/>
              <w:start w:w="120" w:type="dxa"/>
              <w:end w:w="120" w:type="dxa"/>
            </w:tcMar>
          </w:tcPr>
          <w:p>
            <w:r>
              <w:rPr>
                <w:rFonts w:ascii="Calibri" w:hAnsi="Calibri"/>
                <w:b/>
                <w:color w:val="183B3A"/>
                <w:sz w:val="15"/>
              </w:rPr>
              <w:t>C-15</w:t>
            </w:r>
          </w:p>
        </w:tc>
        <w:tc>
          <w:tcPr>
            <w:tcW w:type="dxa" w:w="2500"/>
            <w:vAlign w:val="top"/>
            <w:tcMar>
              <w:top w:w="80" w:type="dxa"/>
              <w:bottom w:w="80" w:type="dxa"/>
              <w:start w:w="120" w:type="dxa"/>
              <w:end w:w="120" w:type="dxa"/>
            </w:tcMar>
          </w:tcPr>
          <w:p>
            <w:r>
              <w:rPr>
                <w:rFonts w:ascii="Calibri" w:hAnsi="Calibri"/>
                <w:b w:val="0"/>
                <w:color w:val="000000"/>
                <w:sz w:val="15"/>
              </w:rPr>
              <w:t>TGA approved / clinically validated / court approved</w:t>
            </w:r>
          </w:p>
        </w:tc>
        <w:tc>
          <w:tcPr>
            <w:tcW w:type="dxa" w:w="1550"/>
            <w:vAlign w:val="top"/>
            <w:tcMar>
              <w:top w:w="80" w:type="dxa"/>
              <w:bottom w:w="80" w:type="dxa"/>
              <w:start w:w="120" w:type="dxa"/>
              <w:end w:w="120" w:type="dxa"/>
            </w:tcMar>
          </w:tcPr>
          <w:p>
            <w:r>
              <w:rPr>
                <w:rFonts w:ascii="Calibri" w:hAnsi="Calibri"/>
                <w:b w:val="0"/>
                <w:color w:val="000000"/>
                <w:sz w:val="15"/>
              </w:rPr>
              <w:t>Prohibited until exactly true</w:t>
            </w:r>
          </w:p>
        </w:tc>
        <w:tc>
          <w:tcPr>
            <w:tcW w:type="dxa" w:w="2200"/>
            <w:vAlign w:val="top"/>
            <w:tcMar>
              <w:top w:w="80" w:type="dxa"/>
              <w:bottom w:w="80" w:type="dxa"/>
              <w:start w:w="120" w:type="dxa"/>
              <w:end w:w="120" w:type="dxa"/>
            </w:tcMar>
          </w:tcPr>
          <w:p>
            <w:r>
              <w:rPr>
                <w:rFonts w:ascii="Calibri" w:hAnsi="Calibri"/>
                <w:b w:val="0"/>
                <w:color w:val="000000"/>
                <w:sz w:val="15"/>
              </w:rPr>
              <w:t>Formal documentary authority</w:t>
            </w:r>
          </w:p>
        </w:tc>
        <w:tc>
          <w:tcPr>
            <w:tcW w:type="dxa" w:w="2410"/>
            <w:vAlign w:val="top"/>
            <w:tcMar>
              <w:top w:w="80" w:type="dxa"/>
              <w:bottom w:w="80" w:type="dxa"/>
              <w:start w:w="120" w:type="dxa"/>
              <w:end w:w="120" w:type="dxa"/>
            </w:tcMar>
          </w:tcPr>
          <w:p>
            <w:r>
              <w:rPr>
                <w:rFonts w:ascii="Calibri" w:hAnsi="Calibri"/>
                <w:b w:val="0"/>
                <w:color w:val="000000"/>
                <w:sz w:val="15"/>
              </w:rPr>
              <w:t>Approval must identify exact module/version/claim</w:t>
            </w:r>
          </w:p>
        </w:tc>
      </w:tr>
    </w:tbl>
    <w:p>
      <w:pPr>
        <w:pStyle w:val="Heading1"/>
      </w:pPr>
      <w:r>
        <w:t>5. Required user-facing status language</w:t>
      </w:r>
    </w:p>
    <w:tbl>
      <w:tblPr>
        <w:tblStyle w:val="TableGrid"/>
        <w:tblW w:type="dxa" w:w="9360"/>
        <w:tblLayout w:type="fixed"/>
        <w:tblLook w:firstColumn="1" w:firstRow="1" w:lastColumn="0" w:lastRow="0" w:noHBand="0" w:noVBand="1" w:val="04A0"/>
        <w:jc w:val="left"/>
        <w:tblInd w:w="120" w:type="dxa"/>
      </w:tblPr>
      <w:tblGrid>
        <w:gridCol w:w="2100"/>
        <w:gridCol w:w="3810"/>
        <w:gridCol w:w="3450"/>
      </w:tblGrid>
      <w:tr>
        <w:trPr>
          <w:tblHeader/>
        </w:trPr>
        <w:tc>
          <w:tcPr>
            <w:tcW w:type="dxa" w:w="2100"/>
            <w:vAlign w:val="top"/>
            <w:tcMar>
              <w:top w:w="80" w:type="dxa"/>
              <w:bottom w:w="80" w:type="dxa"/>
              <w:start w:w="120" w:type="dxa"/>
              <w:end w:w="120" w:type="dxa"/>
            </w:tcMar>
            <w:shd w:fill="2E746E"/>
          </w:tcPr>
          <w:p>
            <w:r>
              <w:rPr>
                <w:rFonts w:ascii="Calibri" w:hAnsi="Calibri"/>
                <w:b/>
                <w:color w:val="FFFFFF"/>
                <w:sz w:val="18"/>
              </w:rPr>
              <w:t>Status</w:t>
            </w:r>
          </w:p>
        </w:tc>
        <w:tc>
          <w:tcPr>
            <w:tcW w:type="dxa" w:w="3810"/>
            <w:vAlign w:val="top"/>
            <w:tcMar>
              <w:top w:w="80" w:type="dxa"/>
              <w:bottom w:w="80" w:type="dxa"/>
              <w:start w:w="120" w:type="dxa"/>
              <w:end w:w="120" w:type="dxa"/>
            </w:tcMar>
            <w:shd w:fill="2E746E"/>
          </w:tcPr>
          <w:p>
            <w:r>
              <w:rPr>
                <w:rFonts w:ascii="Calibri" w:hAnsi="Calibri"/>
                <w:b/>
                <w:color w:val="FFFFFF"/>
                <w:sz w:val="18"/>
              </w:rPr>
              <w:t>Mandatory wording</w:t>
            </w:r>
          </w:p>
        </w:tc>
        <w:tc>
          <w:tcPr>
            <w:tcW w:type="dxa" w:w="3450"/>
            <w:vAlign w:val="top"/>
            <w:tcMar>
              <w:top w:w="80" w:type="dxa"/>
              <w:bottom w:w="80" w:type="dxa"/>
              <w:start w:w="120" w:type="dxa"/>
              <w:end w:w="120" w:type="dxa"/>
            </w:tcMar>
            <w:shd w:fill="2E746E"/>
          </w:tcPr>
          <w:p>
            <w:r>
              <w:rPr>
                <w:rFonts w:ascii="Calibri" w:hAnsi="Calibri"/>
                <w:b/>
                <w:color w:val="FFFFFF"/>
                <w:sz w:val="18"/>
              </w:rPr>
              <w:t>Display rule</w:t>
            </w:r>
          </w:p>
        </w:tc>
      </w:tr>
      <w:tr>
        <w:trPr>
          <w:cantSplit/>
        </w:trPr>
        <w:tc>
          <w:tcPr>
            <w:tcW w:type="dxa" w:w="2100"/>
            <w:vAlign w:val="top"/>
            <w:tcMar>
              <w:top w:w="80" w:type="dxa"/>
              <w:bottom w:w="80" w:type="dxa"/>
              <w:start w:w="120" w:type="dxa"/>
              <w:end w:w="120" w:type="dxa"/>
            </w:tcMar>
          </w:tcPr>
          <w:p>
            <w:r>
              <w:rPr>
                <w:rFonts w:ascii="Calibri" w:hAnsi="Calibri"/>
                <w:b/>
                <w:color w:val="183B3A"/>
                <w:sz w:val="17"/>
              </w:rPr>
              <w:t>Unreviewed preliminary result</w:t>
            </w:r>
          </w:p>
        </w:tc>
        <w:tc>
          <w:tcPr>
            <w:tcW w:type="dxa" w:w="3810"/>
            <w:vAlign w:val="top"/>
            <w:tcMar>
              <w:top w:w="80" w:type="dxa"/>
              <w:bottom w:w="80" w:type="dxa"/>
              <w:start w:w="120" w:type="dxa"/>
              <w:end w:w="120" w:type="dxa"/>
            </w:tcMar>
          </w:tcPr>
          <w:p>
            <w:r>
              <w:rPr>
                <w:rFonts w:ascii="Calibri" w:hAnsi="Calibri"/>
                <w:b w:val="0"/>
                <w:color w:val="000000"/>
                <w:sz w:val="17"/>
              </w:rPr>
              <w:t>“Preliminary screening result - not a diagnosis.”</w:t>
            </w:r>
          </w:p>
        </w:tc>
        <w:tc>
          <w:tcPr>
            <w:tcW w:type="dxa" w:w="3450"/>
            <w:vAlign w:val="top"/>
            <w:tcMar>
              <w:top w:w="80" w:type="dxa"/>
              <w:bottom w:w="80" w:type="dxa"/>
              <w:start w:w="120" w:type="dxa"/>
              <w:end w:w="120" w:type="dxa"/>
            </w:tcMar>
          </w:tcPr>
          <w:p>
            <w:r>
              <w:rPr>
                <w:rFonts w:ascii="Calibri" w:hAnsi="Calibri"/>
                <w:b w:val="0"/>
                <w:color w:val="000000"/>
                <w:sz w:val="17"/>
              </w:rPr>
              <w:t>Every screen, notification, export and share</w:t>
            </w:r>
          </w:p>
        </w:tc>
      </w:tr>
      <w:tr>
        <w:trPr>
          <w:cantSplit/>
        </w:trPr>
        <w:tc>
          <w:tcPr>
            <w:tcW w:type="dxa" w:w="2100"/>
            <w:vAlign w:val="top"/>
            <w:tcMar>
              <w:top w:w="80" w:type="dxa"/>
              <w:bottom w:w="80" w:type="dxa"/>
              <w:start w:w="120" w:type="dxa"/>
              <w:end w:w="120" w:type="dxa"/>
            </w:tcMar>
          </w:tcPr>
          <w:p>
            <w:r>
              <w:rPr>
                <w:rFonts w:ascii="Calibri" w:hAnsi="Calibri"/>
                <w:b/>
                <w:color w:val="183B3A"/>
                <w:sz w:val="17"/>
              </w:rPr>
              <w:t>Professionally reviewed - non-diagnostic</w:t>
            </w:r>
          </w:p>
        </w:tc>
        <w:tc>
          <w:tcPr>
            <w:tcW w:type="dxa" w:w="3810"/>
            <w:vAlign w:val="top"/>
            <w:tcMar>
              <w:top w:w="80" w:type="dxa"/>
              <w:bottom w:w="80" w:type="dxa"/>
              <w:start w:w="120" w:type="dxa"/>
              <w:end w:w="120" w:type="dxa"/>
            </w:tcMar>
          </w:tcPr>
          <w:p>
            <w:r>
              <w:rPr>
                <w:rFonts w:ascii="Calibri" w:hAnsi="Calibri"/>
                <w:b w:val="0"/>
                <w:color w:val="000000"/>
                <w:sz w:val="17"/>
              </w:rPr>
              <w:t>“Reviewed by [practitioner], with stated limitations; not a diagnosis.”</w:t>
            </w:r>
          </w:p>
        </w:tc>
        <w:tc>
          <w:tcPr>
            <w:tcW w:type="dxa" w:w="3450"/>
            <w:vAlign w:val="top"/>
            <w:tcMar>
              <w:top w:w="80" w:type="dxa"/>
              <w:bottom w:w="80" w:type="dxa"/>
              <w:start w:w="120" w:type="dxa"/>
              <w:end w:w="120" w:type="dxa"/>
            </w:tcMar>
          </w:tcPr>
          <w:p>
            <w:r>
              <w:rPr>
                <w:rFonts w:ascii="Calibri" w:hAnsi="Calibri"/>
                <w:b w:val="0"/>
                <w:color w:val="000000"/>
                <w:sz w:val="17"/>
              </w:rPr>
              <w:t>Only after verified review</w:t>
            </w:r>
          </w:p>
        </w:tc>
      </w:tr>
      <w:tr>
        <w:trPr>
          <w:cantSplit/>
        </w:trPr>
        <w:tc>
          <w:tcPr>
            <w:tcW w:type="dxa" w:w="2100"/>
            <w:vAlign w:val="top"/>
            <w:tcMar>
              <w:top w:w="80" w:type="dxa"/>
              <w:bottom w:w="80" w:type="dxa"/>
              <w:start w:w="120" w:type="dxa"/>
              <w:end w:w="120" w:type="dxa"/>
            </w:tcMar>
          </w:tcPr>
          <w:p>
            <w:r>
              <w:rPr>
                <w:rFonts w:ascii="Calibri" w:hAnsi="Calibri"/>
                <w:b/>
                <w:color w:val="183B3A"/>
                <w:sz w:val="17"/>
              </w:rPr>
              <w:t>Practitioner-authored professional conclusion</w:t>
            </w:r>
          </w:p>
        </w:tc>
        <w:tc>
          <w:tcPr>
            <w:tcW w:type="dxa" w:w="3810"/>
            <w:vAlign w:val="top"/>
            <w:tcMar>
              <w:top w:w="80" w:type="dxa"/>
              <w:bottom w:w="80" w:type="dxa"/>
              <w:start w:w="120" w:type="dxa"/>
              <w:end w:w="120" w:type="dxa"/>
            </w:tcMar>
          </w:tcPr>
          <w:p>
            <w:r>
              <w:rPr>
                <w:rFonts w:ascii="Calibri" w:hAnsi="Calibri"/>
                <w:b w:val="0"/>
                <w:color w:val="000000"/>
                <w:sz w:val="17"/>
              </w:rPr>
              <w:t>“Separate conclusion authored and signed by [practitioner].”</w:t>
            </w:r>
          </w:p>
        </w:tc>
        <w:tc>
          <w:tcPr>
            <w:tcW w:type="dxa" w:w="3450"/>
            <w:vAlign w:val="top"/>
            <w:tcMar>
              <w:top w:w="80" w:type="dxa"/>
              <w:bottom w:w="80" w:type="dxa"/>
              <w:start w:w="120" w:type="dxa"/>
              <w:end w:w="120" w:type="dxa"/>
            </w:tcMar>
          </w:tcPr>
          <w:p>
            <w:r>
              <w:rPr>
                <w:rFonts w:ascii="Calibri" w:hAnsi="Calibri"/>
                <w:b w:val="0"/>
                <w:color w:val="000000"/>
                <w:sz w:val="17"/>
              </w:rPr>
              <w:t>Never attributed to SafeSteps or AI</w:t>
            </w:r>
          </w:p>
        </w:tc>
      </w:tr>
      <w:tr>
        <w:trPr>
          <w:cantSplit/>
        </w:trPr>
        <w:tc>
          <w:tcPr>
            <w:tcW w:type="dxa" w:w="2100"/>
            <w:vAlign w:val="top"/>
            <w:tcMar>
              <w:top w:w="80" w:type="dxa"/>
              <w:bottom w:w="80" w:type="dxa"/>
              <w:start w:w="120" w:type="dxa"/>
              <w:end w:w="120" w:type="dxa"/>
            </w:tcMar>
          </w:tcPr>
          <w:p>
            <w:r>
              <w:rPr>
                <w:rFonts w:ascii="Calibri" w:hAnsi="Calibri"/>
                <w:b/>
                <w:color w:val="183B3A"/>
                <w:sz w:val="17"/>
              </w:rPr>
              <w:t>Invalid or rejected</w:t>
            </w:r>
          </w:p>
        </w:tc>
        <w:tc>
          <w:tcPr>
            <w:tcW w:type="dxa" w:w="3810"/>
            <w:vAlign w:val="top"/>
            <w:tcMar>
              <w:top w:w="80" w:type="dxa"/>
              <w:bottom w:w="80" w:type="dxa"/>
              <w:start w:w="120" w:type="dxa"/>
              <w:end w:w="120" w:type="dxa"/>
            </w:tcMar>
          </w:tcPr>
          <w:p>
            <w:r>
              <w:rPr>
                <w:rFonts w:ascii="Calibri" w:hAnsi="Calibri"/>
                <w:b w:val="0"/>
                <w:color w:val="000000"/>
                <w:sz w:val="17"/>
              </w:rPr>
              <w:t>“Do not rely on this result. Reason: [recorded reason].”</w:t>
            </w:r>
          </w:p>
        </w:tc>
        <w:tc>
          <w:tcPr>
            <w:tcW w:type="dxa" w:w="3450"/>
            <w:vAlign w:val="top"/>
            <w:tcMar>
              <w:top w:w="80" w:type="dxa"/>
              <w:bottom w:w="80" w:type="dxa"/>
              <w:start w:w="120" w:type="dxa"/>
              <w:end w:w="120" w:type="dxa"/>
            </w:tcMar>
          </w:tcPr>
          <w:p>
            <w:r>
              <w:rPr>
                <w:rFonts w:ascii="Calibri" w:hAnsi="Calibri"/>
                <w:b w:val="0"/>
                <w:color w:val="000000"/>
                <w:sz w:val="17"/>
              </w:rPr>
              <w:t>Prior output retained in audit history</w:t>
            </w:r>
          </w:p>
        </w:tc>
      </w:tr>
      <w:tr>
        <w:trPr>
          <w:cantSplit/>
        </w:trPr>
        <w:tc>
          <w:tcPr>
            <w:tcW w:type="dxa" w:w="2100"/>
            <w:vAlign w:val="top"/>
            <w:tcMar>
              <w:top w:w="80" w:type="dxa"/>
              <w:bottom w:w="80" w:type="dxa"/>
              <w:start w:w="120" w:type="dxa"/>
              <w:end w:w="120" w:type="dxa"/>
            </w:tcMar>
          </w:tcPr>
          <w:p>
            <w:r>
              <w:rPr>
                <w:rFonts w:ascii="Calibri" w:hAnsi="Calibri"/>
                <w:b/>
                <w:color w:val="183B3A"/>
                <w:sz w:val="17"/>
              </w:rPr>
              <w:t>Disputed</w:t>
            </w:r>
          </w:p>
        </w:tc>
        <w:tc>
          <w:tcPr>
            <w:tcW w:type="dxa" w:w="3810"/>
            <w:vAlign w:val="top"/>
            <w:tcMar>
              <w:top w:w="80" w:type="dxa"/>
              <w:bottom w:w="80" w:type="dxa"/>
              <w:start w:w="120" w:type="dxa"/>
              <w:end w:w="120" w:type="dxa"/>
            </w:tcMar>
          </w:tcPr>
          <w:p>
            <w:r>
              <w:rPr>
                <w:rFonts w:ascii="Calibri" w:hAnsi="Calibri"/>
                <w:b w:val="0"/>
                <w:color w:val="000000"/>
                <w:sz w:val="17"/>
              </w:rPr>
              <w:t>“Disputed information - not established as fact.”</w:t>
            </w:r>
          </w:p>
        </w:tc>
        <w:tc>
          <w:tcPr>
            <w:tcW w:type="dxa" w:w="3450"/>
            <w:vAlign w:val="top"/>
            <w:tcMar>
              <w:top w:w="80" w:type="dxa"/>
              <w:bottom w:w="80" w:type="dxa"/>
              <w:start w:w="120" w:type="dxa"/>
              <w:end w:w="120" w:type="dxa"/>
            </w:tcMar>
          </w:tcPr>
          <w:p>
            <w:r>
              <w:rPr>
                <w:rFonts w:ascii="Calibri" w:hAnsi="Calibri"/>
                <w:b w:val="0"/>
                <w:color w:val="000000"/>
                <w:sz w:val="17"/>
              </w:rPr>
              <w:t>Visible wherever the item is used</w:t>
            </w:r>
          </w:p>
        </w:tc>
      </w:tr>
    </w:tbl>
    <w:p>
      <w:pPr>
        <w:pStyle w:val="Heading1"/>
      </w:pPr>
      <w:r>
        <w:t>6. AI, clinical and forensic boundaries</w:t>
      </w:r>
    </w:p>
    <w:p>
      <w:pPr>
        <w:pStyle w:val="ListBullet"/>
      </w:pPr>
      <w:r>
        <w:t>Generative AI may assist source indexing, chronology, completeness checks, contradiction surfacing, plain-language explanation and user coaching.</w:t>
      </w:r>
    </w:p>
    <w:p>
      <w:pPr>
        <w:pStyle w:val="ListBullet"/>
      </w:pPr>
      <w:r>
        <w:t>Generative AI must not alter validated questions, calculate an unauthorised score, select restricted tests, invent sources, diagnose, prescribe, sign or impersonate a practitioner.</w:t>
      </w:r>
    </w:p>
    <w:p>
      <w:pPr>
        <w:pStyle w:val="ListBullet"/>
      </w:pPr>
      <w:r>
        <w:t>Every AI-derived extract remains labelled, source-linked, contestable and unverified until the required human confirmation occurs.</w:t>
      </w:r>
    </w:p>
    <w:p>
      <w:pPr>
        <w:pStyle w:val="ListBullet"/>
      </w:pPr>
      <w:r>
        <w:t>Professional review is not a rubber stamp: the practitioner must independently consider administration, validity, context, alternatives, contrary information and limitations.</w:t>
      </w:r>
    </w:p>
    <w:p>
      <w:pPr>
        <w:pStyle w:val="ListBullet"/>
      </w:pPr>
      <w:r>
        <w:t>Court, legal, casework or professional access does not convert a preliminary output into established fact or a professional opinion.</w:t>
      </w:r>
    </w:p>
    <w:p>
      <w:pPr>
        <w:pStyle w:val="Heading1"/>
      </w:pPr>
      <w:r>
        <w:t>7. Change-control and release gate</w:t>
      </w:r>
    </w:p>
    <w:p>
      <w:pPr>
        <w:pStyle w:val="ListNumber"/>
      </w:pPr>
      <w:r>
        <w:t>Describe the changed function, output, intended user, population, setting and claim.</w:t>
      </w:r>
    </w:p>
    <w:p>
      <w:pPr>
        <w:pStyle w:val="ListNumber"/>
      </w:pPr>
      <w:r>
        <w:t>Determine whether the change introduces diagnosis, prediction, prognosis, treatment, monitoring, clinical recommendation or legal/child-protection inference.</w:t>
      </w:r>
    </w:p>
    <w:p>
      <w:pPr>
        <w:pStyle w:val="ListNumber"/>
      </w:pPr>
      <w:r>
        <w:t>Reassess exclusion, exemption, classification, ARTG, evidence, privacy, child-safety and professional-scope implications.</w:t>
      </w:r>
    </w:p>
    <w:p>
      <w:pPr>
        <w:pStyle w:val="ListNumber"/>
      </w:pPr>
      <w:r>
        <w:t>Update hazards, clinical evaluation, software tests, instructions, labels, training, contracts and this register.</w:t>
      </w:r>
    </w:p>
    <w:p>
      <w:pPr>
        <w:pStyle w:val="ListNumber"/>
      </w:pPr>
      <w:r>
        <w:t>Obtain required regulatory and governance approval before enabling or advertising the change.</w:t>
      </w:r>
    </w:p>
    <w:p>
      <w:pPr>
        <w:pStyle w:val="ListNumber"/>
      </w:pPr>
      <w:r>
        <w:t>Release with a traceable version; monitor performance, complaints, incidents, bias, misuse and scope creep.</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bottom w:w="80" w:type="dxa"/>
              <w:start w:w="120" w:type="dxa"/>
              <w:end w:w="120" w:type="dxa"/>
            </w:tcMar>
            <w:shd w:fill="FFF3CD"/>
          </w:tcPr>
          <w:p>
            <w:r>
              <w:rPr>
                <w:rFonts w:ascii="Calibri" w:hAnsi="Calibri"/>
                <w:b/>
                <w:color w:val="6B5200"/>
                <w:sz w:val="22"/>
              </w:rPr>
              <w:t xml:space="preserve">Stop-release rule  </w:t>
            </w:r>
            <w:r>
              <w:rPr>
                <w:rFonts w:ascii="Calibri" w:hAnsi="Calibri"/>
                <w:color w:val="6B5200"/>
                <w:sz w:val="22"/>
              </w:rPr>
              <w:t>A feature must not ship merely because a human may review its output. The actual intended purpose, analysis performed, claim made, risk and applicable Australian rules must first be resolved.</w:t>
            </w:r>
          </w:p>
        </w:tc>
      </w:tr>
    </w:tbl>
    <w:p>
      <w:pPr>
        <w:spacing w:after="0"/>
      </w:pPr>
    </w:p>
    <w:p>
      <w:pPr>
        <w:pStyle w:val="Heading1"/>
      </w:pPr>
      <w:r>
        <w:t>8. Decisions required before clinical-module development</w:t>
      </w:r>
    </w:p>
    <w:p>
      <w:pPr>
        <w:pStyle w:val="ListBullet"/>
      </w:pPr>
      <w:r>
        <w:t>Confirm the Australian legal entity, manufacturer and sponsor roles.</w:t>
      </w:r>
    </w:p>
    <w:p>
      <w:pPr>
        <w:pStyle w:val="ListBullet"/>
      </w:pPr>
      <w:r>
        <w:t>Obtain an Australian medical-device regulatory opinion for every clinical or assessment-support function.</w:t>
      </w:r>
    </w:p>
    <w:p>
      <w:pPr>
        <w:pStyle w:val="ListBullet"/>
      </w:pPr>
      <w:r>
        <w:t>Name each proposed instrument and verify licence, digital use, population, language, scoring, thresholds and qualification restrictions.</w:t>
      </w:r>
    </w:p>
    <w:p>
      <w:pPr>
        <w:pStyle w:val="ListBullet"/>
      </w:pPr>
      <w:r>
        <w:t>Appoint clinical, psychological/forensic, child-safety, privacy, security and lived-experience governance reviewers.</w:t>
      </w:r>
    </w:p>
    <w:p>
      <w:pPr>
        <w:pStyle w:val="ListBullet"/>
      </w:pPr>
      <w:r>
        <w:t>Define professional credential verification, scope, conflicts, independent review, signature and second-opinion processes.</w:t>
      </w:r>
    </w:p>
    <w:p>
      <w:pPr>
        <w:pStyle w:val="ListBullet"/>
      </w:pPr>
      <w:r>
        <w:t>Complete clinical-evidence, risk-management, quality-management, software-lifecycle, cybersecurity and post-market plans proportionate to the confirmed pathway.</w:t>
      </w:r>
    </w:p>
    <w:p>
      <w:pPr>
        <w:pStyle w:val="Heading1"/>
      </w:pPr>
      <w:r>
        <w:t>Appendix A - Controlled terminology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trPr>
        <w:tc>
          <w:tcPr>
            <w:tcW w:type="dxa" w:w="2200"/>
            <w:vAlign w:val="top"/>
            <w:tcMar>
              <w:top w:w="80" w:type="dxa"/>
              <w:bottom w:w="80" w:type="dxa"/>
              <w:start w:w="120" w:type="dxa"/>
              <w:end w:w="120" w:type="dxa"/>
            </w:tcMar>
            <w:shd w:fill="2E746E"/>
          </w:tcPr>
          <w:p>
            <w:r>
              <w:rPr>
                <w:rFonts w:ascii="Calibri" w:hAnsi="Calibri"/>
                <w:b/>
                <w:color w:val="FFFFFF"/>
                <w:sz w:val="18"/>
              </w:rPr>
              <w:t>Control</w:t>
            </w:r>
          </w:p>
        </w:tc>
        <w:tc>
          <w:tcPr>
            <w:tcW w:type="dxa" w:w="7160"/>
            <w:vAlign w:val="top"/>
            <w:tcMar>
              <w:top w:w="80" w:type="dxa"/>
              <w:bottom w:w="80" w:type="dxa"/>
              <w:start w:w="120" w:type="dxa"/>
              <w:end w:w="120" w:type="dxa"/>
            </w:tcMar>
            <w:shd w:fill="2E746E"/>
          </w:tcPr>
          <w:p>
            <w:r>
              <w:rPr>
                <w:rFonts w:ascii="Calibri" w:hAnsi="Calibri"/>
                <w:b/>
                <w:color w:val="FFFFFF"/>
                <w:sz w:val="18"/>
              </w:rPr>
              <w:t>Terms</w:t>
            </w:r>
          </w:p>
        </w:tc>
      </w:tr>
      <w:tr>
        <w:trPr>
          <w:cantSplit/>
        </w:trPr>
        <w:tc>
          <w:tcPr>
            <w:tcW w:type="dxa" w:w="2200"/>
            <w:vAlign w:val="top"/>
            <w:tcMar>
              <w:top w:w="80" w:type="dxa"/>
              <w:bottom w:w="80" w:type="dxa"/>
              <w:start w:w="120" w:type="dxa"/>
              <w:end w:w="120" w:type="dxa"/>
            </w:tcMar>
          </w:tcPr>
          <w:p>
            <w:r>
              <w:rPr>
                <w:rFonts w:ascii="Calibri" w:hAnsi="Calibri"/>
                <w:b/>
                <w:color w:val="183B3A"/>
                <w:sz w:val="18"/>
              </w:rPr>
              <w:t>Use now</w:t>
            </w:r>
          </w:p>
        </w:tc>
        <w:tc>
          <w:tcPr>
            <w:tcW w:type="dxa" w:w="7160"/>
            <w:vAlign w:val="top"/>
            <w:tcMar>
              <w:top w:w="80" w:type="dxa"/>
              <w:bottom w:w="80" w:type="dxa"/>
              <w:start w:w="120" w:type="dxa"/>
              <w:end w:w="120" w:type="dxa"/>
            </w:tcMar>
          </w:tcPr>
          <w:p>
            <w:r>
              <w:rPr>
                <w:rFonts w:ascii="Calibri" w:hAnsi="Calibri"/>
                <w:b w:val="0"/>
                <w:color w:val="000000"/>
                <w:sz w:val="18"/>
              </w:rPr>
              <w:t>preliminary screening; unreviewed; support; organise; source-linked; may request professional review</w:t>
            </w:r>
          </w:p>
        </w:tc>
      </w:tr>
      <w:tr>
        <w:trPr>
          <w:cantSplit/>
        </w:trPr>
        <w:tc>
          <w:tcPr>
            <w:tcW w:type="dxa" w:w="2200"/>
            <w:vAlign w:val="top"/>
            <w:tcMar>
              <w:top w:w="80" w:type="dxa"/>
              <w:bottom w:w="80" w:type="dxa"/>
              <w:start w:w="120" w:type="dxa"/>
              <w:end w:w="120" w:type="dxa"/>
            </w:tcMar>
          </w:tcPr>
          <w:p>
            <w:r>
              <w:rPr>
                <w:rFonts w:ascii="Calibri" w:hAnsi="Calibri"/>
                <w:b/>
                <w:color w:val="183B3A"/>
                <w:sz w:val="18"/>
              </w:rPr>
              <w:t>Use only when evidenced and authorised</w:t>
            </w:r>
          </w:p>
        </w:tc>
        <w:tc>
          <w:tcPr>
            <w:tcW w:type="dxa" w:w="7160"/>
            <w:vAlign w:val="top"/>
            <w:tcMar>
              <w:top w:w="80" w:type="dxa"/>
              <w:bottom w:w="80" w:type="dxa"/>
              <w:start w:w="120" w:type="dxa"/>
              <w:end w:w="120" w:type="dxa"/>
            </w:tcMar>
          </w:tcPr>
          <w:p>
            <w:r>
              <w:rPr>
                <w:rFonts w:ascii="Calibri" w:hAnsi="Calibri"/>
                <w:b w:val="0"/>
                <w:color w:val="000000"/>
                <w:sz w:val="18"/>
              </w:rPr>
              <w:t>validated for [exact purpose/population/version]; professionally reviewed; practitioner-authored</w:t>
            </w:r>
          </w:p>
        </w:tc>
      </w:tr>
      <w:tr>
        <w:trPr>
          <w:cantSplit/>
        </w:trPr>
        <w:tc>
          <w:tcPr>
            <w:tcW w:type="dxa" w:w="2200"/>
            <w:vAlign w:val="top"/>
            <w:tcMar>
              <w:top w:w="80" w:type="dxa"/>
              <w:bottom w:w="80" w:type="dxa"/>
              <w:start w:w="120" w:type="dxa"/>
              <w:end w:w="120" w:type="dxa"/>
            </w:tcMar>
          </w:tcPr>
          <w:p>
            <w:r>
              <w:rPr>
                <w:rFonts w:ascii="Calibri" w:hAnsi="Calibri"/>
                <w:b/>
                <w:color w:val="183B3A"/>
                <w:sz w:val="18"/>
              </w:rPr>
              <w:t>Do not use now</w:t>
            </w:r>
          </w:p>
        </w:tc>
        <w:tc>
          <w:tcPr>
            <w:tcW w:type="dxa" w:w="7160"/>
            <w:vAlign w:val="top"/>
            <w:tcMar>
              <w:top w:w="80" w:type="dxa"/>
              <w:bottom w:w="80" w:type="dxa"/>
              <w:start w:w="120" w:type="dxa"/>
              <w:end w:w="120" w:type="dxa"/>
            </w:tcMar>
          </w:tcPr>
          <w:p>
            <w:r>
              <w:rPr>
                <w:rFonts w:ascii="Calibri" w:hAnsi="Calibri"/>
                <w:b w:val="0"/>
                <w:color w:val="000000"/>
                <w:sz w:val="18"/>
              </w:rPr>
              <w:t>pre-diagnosis; SafeSteps diagnosis; official forensic assessment; proves change; predicts safety; parent fit/unfit; TGA approved; court approved</w:t>
            </w:r>
          </w:p>
        </w:tc>
      </w:tr>
    </w:tbl>
    <w:p>
      <w:pPr>
        <w:pStyle w:val="Heading1"/>
      </w:pPr>
      <w:r>
        <w:t>Appendix B - Official Australian references</w:t>
      </w:r>
    </w:p>
    <w:p>
      <w:r>
        <w:rPr>
          <w:rFonts w:ascii="Calibri" w:hAnsi="Calibri"/>
          <w:b/>
          <w:color w:val="183B3A"/>
          <w:sz w:val="18"/>
        </w:rPr>
        <w:t xml:space="preserve">TGA - software-based medical devices: </w:t>
      </w:r>
      <w:hyperlink r:id="rId11">
        <w:r>
          <w:rPr>
            <w:color w:val="2E746E"/>
            <w:u w:val="single"/>
          </w:rPr>
          <w:t>https://www.tga.gov.au/resources/guidance/understanding-how-we-regulate-software-based-medical-devices</w:t>
        </w:r>
      </w:hyperlink>
    </w:p>
    <w:p>
      <w:r>
        <w:rPr>
          <w:rFonts w:ascii="Calibri" w:hAnsi="Calibri"/>
          <w:b/>
          <w:color w:val="183B3A"/>
          <w:sz w:val="18"/>
        </w:rPr>
        <w:t xml:space="preserve">TGA - exempt software as a medical device: </w:t>
      </w:r>
      <w:hyperlink r:id="rId12">
        <w:r>
          <w:rPr>
            <w:color w:val="2E746E"/>
            <w:u w:val="single"/>
          </w:rPr>
          <w:t>https://www.tga.gov.au/products/medical-devices/software-and-artificial-intelligence-ai/overview/exempt-software-medical-device</w:t>
        </w:r>
      </w:hyperlink>
    </w:p>
    <w:p>
      <w:r>
        <w:rPr>
          <w:rFonts w:ascii="Calibri" w:hAnsi="Calibri"/>
          <w:b/>
          <w:color w:val="183B3A"/>
          <w:sz w:val="18"/>
        </w:rPr>
        <w:t xml:space="preserve">TGA - clinical decision support software: </w:t>
      </w:r>
      <w:hyperlink r:id="rId13">
        <w:r>
          <w:rPr>
            <w:color w:val="2E746E"/>
            <w:u w:val="single"/>
          </w:rPr>
          <w:t>https://www.tga.gov.au/resources/guidance/understanding-clinical-decision-support-system-software-regulation</w:t>
        </w:r>
      </w:hyperlink>
    </w:p>
    <w:p>
      <w:r>
        <w:rPr>
          <w:rFonts w:ascii="Calibri" w:hAnsi="Calibri"/>
          <w:b/>
          <w:color w:val="183B3A"/>
          <w:sz w:val="18"/>
        </w:rPr>
        <w:t xml:space="preserve">TGA - AI medical-device software regulation: </w:t>
      </w:r>
      <w:hyperlink r:id="rId14">
        <w:r>
          <w:rPr>
            <w:color w:val="2E746E"/>
            <w:u w:val="single"/>
          </w:rPr>
          <w:t>https://www.tga.gov.au/products/medical-devices/software-and-artificial-intelligence-ai/manufacturing/artificial-intelligence-ai-and-medical-device-software-regulation</w:t>
        </w:r>
      </w:hyperlink>
    </w:p>
    <w:p>
      <w:r>
        <w:rPr>
          <w:rFonts w:ascii="Calibri" w:hAnsi="Calibri"/>
          <w:b/>
          <w:color w:val="183B3A"/>
          <w:sz w:val="18"/>
        </w:rPr>
        <w:t xml:space="preserve">TGA - evidence requirements for software using AI: </w:t>
      </w:r>
      <w:hyperlink r:id="rId15">
        <w:r>
          <w:rPr>
            <w:color w:val="2E746E"/>
            <w:u w:val="single"/>
          </w:rPr>
          <w:t>https://www.tga.gov.au/products/medical-devices/software-and-artificial-intelligence-ai/manufacturing/artificial-intelligence-ai-and-medical-device-software-regulation/evidence-requirements-software-using-ai</w:t>
        </w:r>
      </w:hyperlink>
    </w:p>
    <w:p>
      <w:r>
        <w:rPr>
          <w:rFonts w:ascii="Calibri" w:hAnsi="Calibri"/>
          <w:b/>
          <w:color w:val="183B3A"/>
          <w:sz w:val="18"/>
        </w:rPr>
        <w:t xml:space="preserve">Document control: </w:t>
      </w:r>
      <w:r>
        <w:rPr>
          <w:rFonts w:ascii="Calibri" w:hAnsi="Calibri"/>
          <w:color w:val="5D6665"/>
          <w:sz w:val="18"/>
        </w:rPr>
        <w:t>Version 1.0 | Draft for regulatory enquiry | Prepared 29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66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D6665"/>
        <w:sz w:val="18"/>
      </w:rPr>
      <w:t>SafeSteps | Intended Purpose and Claims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6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B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D666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ga.gov.au/resources/guidance/understanding-how-we-regulate-software-based-medical-devices" TargetMode="External"/><Relationship Id="rId12" Type="http://schemas.openxmlformats.org/officeDocument/2006/relationships/hyperlink" Target="https://www.tga.gov.au/products/medical-devices/software-and-artificial-intelligence-ai/overview/exempt-software-medical-device" TargetMode="External"/><Relationship Id="rId13" Type="http://schemas.openxmlformats.org/officeDocument/2006/relationships/hyperlink" Target="https://www.tga.gov.au/resources/guidance/understanding-clinical-decision-support-system-software-regulation" TargetMode="External"/><Relationship Id="rId14" Type="http://schemas.openxmlformats.org/officeDocument/2006/relationships/hyperlink" Target="https://www.tga.gov.au/products/medical-devices/software-and-artificial-intelligence-ai/manufacturing/artificial-intelligence-ai-and-medical-device-software-regulation" TargetMode="External"/><Relationship Id="rId15" Type="http://schemas.openxmlformats.org/officeDocument/2006/relationships/hyperlink" Target="https://www.tga.gov.au/products/medical-devices/software-and-artificial-intelligence-ai/manufacturing/artificial-intelligence-ai-and-medical-device-software-regulation/evidence-requirements-software-using-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SafeSteps Intended Purpose, Module Boundary and Claims Register</dc:title>
  <dc:subject>Controlled regulatory and product claims register</dc:subject>
  <dc:creator>SafeSteps</dc:creator>
  <cp:keywords/>
  <dc:description>generated by python-docx</dc:description>
  <cp:lastModifiedBy/>
  <cp:revision>1</cp:revision>
  <dcterms:created xsi:type="dcterms:W3CDTF">2013-12-23T23:15:00Z</dcterms:created>
  <dcterms:modified xsi:type="dcterms:W3CDTF">2013-12-23T23:15:00Z</dcterms:modified>
  <cp:category/>
</cp:coreProperties>
</file>