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D868D" w14:textId="77777777" w:rsidR="00D66995" w:rsidRPr="00907BE3" w:rsidRDefault="00D66995" w:rsidP="00D66995">
      <w:pPr>
        <w:pStyle w:val="Title"/>
        <w:rPr>
          <w:rFonts w:ascii="Trebuchet MS" w:hAnsi="Trebuchet MS"/>
          <w:color w:val="2F5496" w:themeColor="accent1" w:themeShade="BF"/>
        </w:rPr>
      </w:pPr>
      <w:r>
        <w:rPr>
          <w:rFonts w:ascii="Trebuchet MS" w:hAnsi="Trebuchet MS"/>
          <w:color w:val="2F5496" w:themeColor="accent1" w:themeShade="BF"/>
        </w:rPr>
        <w:t xml:space="preserve">Oil Eliminators </w:t>
      </w:r>
    </w:p>
    <w:p w14:paraId="05AFAB50" w14:textId="77777777" w:rsidR="00D66995" w:rsidRPr="00907BE3" w:rsidRDefault="00D66995" w:rsidP="00D66995">
      <w:pPr>
        <w:spacing w:after="0"/>
        <w:rPr>
          <w:rFonts w:ascii="Trebuchet MS" w:hAnsi="Trebuchet MS"/>
          <w:i/>
          <w:sz w:val="14"/>
        </w:rPr>
      </w:pPr>
      <w:r w:rsidRPr="00907BE3">
        <w:rPr>
          <w:rStyle w:val="Heading1Char"/>
          <w:rFonts w:ascii="Trebuchet MS" w:hAnsi="Trebuchet MS"/>
          <w:b w:val="0"/>
        </w:rPr>
        <w:t>AIChE Community Affiliation (</w:t>
      </w:r>
      <w:r>
        <w:rPr>
          <w:rStyle w:val="Heading1Char"/>
          <w:rFonts w:ascii="Trebuchet MS" w:hAnsi="Trebuchet MS"/>
          <w:b w:val="0"/>
        </w:rPr>
        <w:t>Rowan</w:t>
      </w:r>
      <w:r w:rsidRPr="00907BE3">
        <w:rPr>
          <w:rStyle w:val="Heading1Char"/>
          <w:rFonts w:ascii="Trebuchet MS" w:hAnsi="Trebuchet MS"/>
          <w:b w:val="0"/>
        </w:rPr>
        <w:t xml:space="preserve"> University </w:t>
      </w:r>
      <w:r>
        <w:rPr>
          <w:rStyle w:val="Heading1Char"/>
          <w:rFonts w:ascii="Trebuchet MS" w:hAnsi="Trebuchet MS"/>
          <w:b w:val="0"/>
        </w:rPr>
        <w:t xml:space="preserve">AIChE </w:t>
      </w:r>
      <w:r w:rsidRPr="00907BE3">
        <w:rPr>
          <w:rStyle w:val="Heading1Char"/>
          <w:rFonts w:ascii="Trebuchet MS" w:hAnsi="Trebuchet MS"/>
          <w:b w:val="0"/>
        </w:rPr>
        <w:t>Student Chapter)</w:t>
      </w:r>
    </w:p>
    <w:p w14:paraId="3F4BD89B" w14:textId="05F7F217" w:rsidR="00D66995" w:rsidRPr="00834160" w:rsidRDefault="00D66995" w:rsidP="00D66995">
      <w:pPr>
        <w:pStyle w:val="paragraph"/>
        <w:spacing w:before="0" w:beforeAutospacing="0" w:after="0" w:afterAutospacing="0"/>
        <w:textAlignment w:val="baseline"/>
        <w:rPr>
          <w:rStyle w:val="eop"/>
          <w:color w:val="000000" w:themeColor="text1"/>
        </w:rPr>
      </w:pPr>
      <w:r w:rsidRPr="12C85D4E">
        <w:rPr>
          <w:rStyle w:val="normaltextrun"/>
          <w:i/>
          <w:iCs/>
          <w:color w:val="000000" w:themeColor="text1"/>
        </w:rPr>
        <w:t>David Theuma, Sean Curtis, Steven Roth, Swapana S. Jerpoth, Barnabas Gao,</w:t>
      </w:r>
    </w:p>
    <w:p w14:paraId="5BC18328" w14:textId="77777777" w:rsidR="00D66995" w:rsidRDefault="00D66995" w:rsidP="00D66995">
      <w:pPr>
        <w:pStyle w:val="paragraph"/>
        <w:spacing w:before="0" w:beforeAutospacing="0" w:after="0" w:afterAutospacing="0"/>
        <w:textAlignment w:val="baseline"/>
        <w:rPr>
          <w:rStyle w:val="eop"/>
          <w:rFonts w:ascii="Trebuchet MS" w:hAnsi="Trebuchet MS" w:cs="Segoe UI"/>
          <w:color w:val="2F5496"/>
          <w:sz w:val="20"/>
          <w:szCs w:val="20"/>
        </w:rPr>
      </w:pPr>
      <w:r>
        <w:rPr>
          <w:rStyle w:val="eop"/>
          <w:rFonts w:ascii="Trebuchet MS" w:hAnsi="Trebuchet MS" w:cs="Segoe UI"/>
          <w:color w:val="2F5496"/>
          <w:sz w:val="20"/>
          <w:szCs w:val="20"/>
        </w:rPr>
        <w:t> </w:t>
      </w:r>
    </w:p>
    <w:p w14:paraId="29D16EFF" w14:textId="77777777" w:rsidR="00D66995" w:rsidRPr="00834160" w:rsidRDefault="00D66995" w:rsidP="00D66995">
      <w:pPr>
        <w:pStyle w:val="paragraph"/>
        <w:spacing w:before="0" w:beforeAutospacing="0" w:after="0" w:afterAutospacing="0"/>
        <w:textAlignment w:val="baseline"/>
        <w:rPr>
          <w:rFonts w:ascii="Segoe UI" w:hAnsi="Segoe UI" w:cs="Segoe UI"/>
          <w:sz w:val="18"/>
          <w:szCs w:val="18"/>
        </w:rPr>
      </w:pPr>
    </w:p>
    <w:p w14:paraId="629C01D4" w14:textId="77777777" w:rsidR="00D66995" w:rsidRDefault="00D66995" w:rsidP="00D66995">
      <w:pPr>
        <w:jc w:val="both"/>
        <w:rPr>
          <w:rFonts w:ascii="Times New Roman" w:hAnsi="Times New Roman" w:cs="Times New Roman"/>
          <w:sz w:val="24"/>
          <w:szCs w:val="24"/>
        </w:rPr>
      </w:pPr>
      <w:r w:rsidRPr="56F87260">
        <w:rPr>
          <w:rFonts w:ascii="Times New Roman" w:hAnsi="Times New Roman" w:cs="Times New Roman"/>
          <w:sz w:val="24"/>
          <w:szCs w:val="24"/>
        </w:rPr>
        <w:t>Science and engineering projects such as the one discussed in this module titled “Oil Eliminators” are great to engage students and individuals to develop their problem-solving skills and gain practical experience in applying scientific principles to real-world challenges using cost-effective materials. The objective of this project is focused on the following main aims:</w:t>
      </w:r>
    </w:p>
    <w:p w14:paraId="15FF1003" w14:textId="77777777" w:rsidR="00D66995" w:rsidRDefault="00D66995" w:rsidP="00D66995">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Sustainability</w:t>
      </w:r>
      <w:r w:rsidRPr="006034E0">
        <w:rPr>
          <w:rFonts w:ascii="Times New Roman" w:hAnsi="Times New Roman" w:cs="Times New Roman"/>
          <w:sz w:val="24"/>
          <w:szCs w:val="24"/>
        </w:rPr>
        <w:t xml:space="preserve"> and the effects of oil spills on the aquatic ecosystem, wildlife, and on human health. </w:t>
      </w:r>
    </w:p>
    <w:p w14:paraId="75160F70" w14:textId="77777777" w:rsidR="00D66995" w:rsidRDefault="00D66995" w:rsidP="00D66995">
      <w:pPr>
        <w:pStyle w:val="ListParagraph"/>
        <w:numPr>
          <w:ilvl w:val="0"/>
          <w:numId w:val="11"/>
        </w:numPr>
        <w:jc w:val="both"/>
        <w:rPr>
          <w:rFonts w:ascii="Times New Roman" w:hAnsi="Times New Roman" w:cs="Times New Roman"/>
          <w:sz w:val="24"/>
          <w:szCs w:val="24"/>
        </w:rPr>
      </w:pPr>
      <w:r w:rsidRPr="006034E0">
        <w:rPr>
          <w:rFonts w:ascii="Times New Roman" w:hAnsi="Times New Roman" w:cs="Times New Roman"/>
          <w:sz w:val="24"/>
          <w:szCs w:val="24"/>
        </w:rPr>
        <w:t xml:space="preserve">They learn about the </w:t>
      </w:r>
      <w:r>
        <w:rPr>
          <w:rFonts w:ascii="Times New Roman" w:hAnsi="Times New Roman" w:cs="Times New Roman"/>
          <w:sz w:val="24"/>
          <w:szCs w:val="24"/>
        </w:rPr>
        <w:t xml:space="preserve">physical and chemical properties of </w:t>
      </w:r>
      <w:r w:rsidRPr="006034E0">
        <w:rPr>
          <w:rFonts w:ascii="Times New Roman" w:hAnsi="Times New Roman" w:cs="Times New Roman"/>
          <w:sz w:val="24"/>
          <w:szCs w:val="24"/>
        </w:rPr>
        <w:t>mixtures, miscible and immiscible substances</w:t>
      </w:r>
      <w:r>
        <w:rPr>
          <w:rFonts w:ascii="Times New Roman" w:hAnsi="Times New Roman" w:cs="Times New Roman"/>
          <w:sz w:val="24"/>
          <w:szCs w:val="24"/>
        </w:rPr>
        <w:t>,</w:t>
      </w:r>
      <w:r w:rsidRPr="006034E0">
        <w:rPr>
          <w:rFonts w:ascii="Times New Roman" w:hAnsi="Times New Roman" w:cs="Times New Roman"/>
          <w:sz w:val="24"/>
          <w:szCs w:val="24"/>
        </w:rPr>
        <w:t xml:space="preserve"> and </w:t>
      </w:r>
      <w:r>
        <w:rPr>
          <w:rFonts w:ascii="Times New Roman" w:hAnsi="Times New Roman" w:cs="Times New Roman"/>
          <w:sz w:val="24"/>
          <w:szCs w:val="24"/>
        </w:rPr>
        <w:t xml:space="preserve">potential methods </w:t>
      </w:r>
      <w:r w:rsidRPr="006034E0">
        <w:rPr>
          <w:rFonts w:ascii="Times New Roman" w:hAnsi="Times New Roman" w:cs="Times New Roman"/>
          <w:sz w:val="24"/>
          <w:szCs w:val="24"/>
        </w:rPr>
        <w:t>to separate them</w:t>
      </w:r>
    </w:p>
    <w:p w14:paraId="6A5B3F69" w14:textId="77777777" w:rsidR="00D66995" w:rsidRDefault="00D66995" w:rsidP="00D66995">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Study the effect of chemical dispersants on cleaning the oil spills</w:t>
      </w:r>
    </w:p>
    <w:p w14:paraId="499C8592" w14:textId="77777777" w:rsidR="00D66995" w:rsidRDefault="00D66995" w:rsidP="00D66995">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Problem-solving techniques </w:t>
      </w:r>
    </w:p>
    <w:p w14:paraId="14BD177F" w14:textId="77777777" w:rsidR="00D66995" w:rsidRDefault="00D66995" w:rsidP="00D66995">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Teamwork and collaborative engagement with a common targeted goal</w:t>
      </w:r>
    </w:p>
    <w:p w14:paraId="353B145E" w14:textId="77777777" w:rsidR="00D66995" w:rsidRPr="006034E0" w:rsidRDefault="00D66995" w:rsidP="00D66995">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Application of chemical engineering fundamentals to solve real-world problems</w:t>
      </w:r>
    </w:p>
    <w:p w14:paraId="36891A96" w14:textId="77777777" w:rsidR="00D66995" w:rsidRDefault="00D66995" w:rsidP="00D66995">
      <w:pPr>
        <w:jc w:val="both"/>
        <w:rPr>
          <w:rFonts w:ascii="Times New Roman" w:hAnsi="Times New Roman" w:cs="Times New Roman"/>
          <w:sz w:val="24"/>
          <w:szCs w:val="24"/>
        </w:rPr>
      </w:pPr>
      <w:r w:rsidRPr="56F87260">
        <w:rPr>
          <w:rFonts w:ascii="Times New Roman" w:hAnsi="Times New Roman" w:cs="Times New Roman"/>
          <w:sz w:val="24"/>
          <w:szCs w:val="24"/>
        </w:rPr>
        <w:t>Through this project, students gain a much deeper understanding of the science behind oil spill reduction using surfactants and the importance of protecting the environment and wildlife. Students also learn about the different strategies and methods for pollution prevention, which contribute to a more sustainable future.</w:t>
      </w:r>
    </w:p>
    <w:p w14:paraId="44CDCE6C" w14:textId="77777777" w:rsidR="00D66995" w:rsidRDefault="00D66995" w:rsidP="00D66995">
      <w:pPr>
        <w:jc w:val="both"/>
        <w:rPr>
          <w:rFonts w:ascii="Times New Roman" w:hAnsi="Times New Roman" w:cs="Times New Roman"/>
          <w:sz w:val="24"/>
          <w:szCs w:val="24"/>
        </w:rPr>
      </w:pPr>
      <w:r w:rsidRPr="7150035C">
        <w:rPr>
          <w:rFonts w:ascii="Times New Roman" w:hAnsi="Times New Roman" w:cs="Times New Roman"/>
          <w:sz w:val="24"/>
          <w:szCs w:val="24"/>
        </w:rPr>
        <w:t>Interested students can explore and gain more insights into the technologies involved in oil spill pollution prevention through the following website links:</w:t>
      </w:r>
    </w:p>
    <w:p w14:paraId="2674EE96" w14:textId="77777777" w:rsidR="00D66995" w:rsidRDefault="00D66995" w:rsidP="00D66995">
      <w:pPr>
        <w:pStyle w:val="ListParagraph"/>
        <w:numPr>
          <w:ilvl w:val="0"/>
          <w:numId w:val="12"/>
        </w:numPr>
        <w:jc w:val="both"/>
        <w:rPr>
          <w:rFonts w:ascii="Times New Roman" w:hAnsi="Times New Roman" w:cs="Times New Roman"/>
          <w:sz w:val="24"/>
          <w:szCs w:val="24"/>
        </w:rPr>
      </w:pPr>
      <w:hyperlink r:id="rId8">
        <w:r w:rsidRPr="3B38B4E6">
          <w:rPr>
            <w:rStyle w:val="Hyperlink"/>
            <w:rFonts w:ascii="Times New Roman" w:hAnsi="Times New Roman" w:cs="Times New Roman"/>
            <w:sz w:val="24"/>
            <w:szCs w:val="24"/>
          </w:rPr>
          <w:t>https://chem.libretexts.org/Ancillary_Materials/Exemplars_and_Case_Studies/Exemplars/Environmental_and_Green_chemistry/The_Use_of_Chemical_Dispersants_for_Oil_Spills</w:t>
        </w:r>
      </w:hyperlink>
    </w:p>
    <w:p w14:paraId="6EF1B2CD" w14:textId="77777777" w:rsidR="00D66995" w:rsidRDefault="00D66995" w:rsidP="00D66995">
      <w:pPr>
        <w:pStyle w:val="ListParagraph"/>
        <w:numPr>
          <w:ilvl w:val="0"/>
          <w:numId w:val="12"/>
        </w:numPr>
        <w:jc w:val="both"/>
        <w:rPr>
          <w:rFonts w:ascii="Times New Roman" w:hAnsi="Times New Roman" w:cs="Times New Roman"/>
          <w:sz w:val="24"/>
          <w:szCs w:val="24"/>
        </w:rPr>
      </w:pPr>
      <w:hyperlink r:id="rId9">
        <w:r w:rsidRPr="7150035C">
          <w:rPr>
            <w:rStyle w:val="Hyperlink"/>
            <w:rFonts w:ascii="Times New Roman" w:hAnsi="Times New Roman" w:cs="Times New Roman"/>
            <w:sz w:val="24"/>
            <w:szCs w:val="24"/>
          </w:rPr>
          <w:t>https://masgc.org/oilscience/oil-spill-science-dispersant-bkgrnd.pdf</w:t>
        </w:r>
      </w:hyperlink>
    </w:p>
    <w:p w14:paraId="49655929" w14:textId="77777777" w:rsidR="00D66995" w:rsidRDefault="00D66995" w:rsidP="00D66995">
      <w:pPr>
        <w:pStyle w:val="ListParagraph"/>
        <w:numPr>
          <w:ilvl w:val="0"/>
          <w:numId w:val="12"/>
        </w:numPr>
        <w:jc w:val="both"/>
        <w:rPr>
          <w:rFonts w:ascii="Times New Roman" w:hAnsi="Times New Roman" w:cs="Times New Roman"/>
          <w:sz w:val="24"/>
          <w:szCs w:val="24"/>
        </w:rPr>
      </w:pPr>
      <w:hyperlink r:id="rId10">
        <w:r w:rsidRPr="7150035C">
          <w:rPr>
            <w:rStyle w:val="Hyperlink"/>
            <w:rFonts w:ascii="Times New Roman" w:hAnsi="Times New Roman" w:cs="Times New Roman"/>
            <w:sz w:val="24"/>
            <w:szCs w:val="24"/>
          </w:rPr>
          <w:t>https://www.itopf.org/knowledge-resources/documents-guides/response-techniques/dispersants/</w:t>
        </w:r>
      </w:hyperlink>
    </w:p>
    <w:p w14:paraId="501A48F1" w14:textId="77777777" w:rsidR="00D66995" w:rsidRDefault="00D66995" w:rsidP="00D66995">
      <w:pPr>
        <w:jc w:val="both"/>
        <w:rPr>
          <w:rFonts w:ascii="Times New Roman" w:hAnsi="Times New Roman" w:cs="Times New Roman"/>
          <w:sz w:val="24"/>
          <w:szCs w:val="24"/>
        </w:rPr>
      </w:pPr>
    </w:p>
    <w:p w14:paraId="1B6D3798" w14:textId="77777777" w:rsidR="00D66995" w:rsidRPr="00FE0FAC" w:rsidRDefault="00D66995" w:rsidP="00D66995">
      <w:pPr>
        <w:rPr>
          <w:rFonts w:ascii="Times New Roman" w:hAnsi="Times New Roman" w:cs="Times New Roman"/>
          <w:sz w:val="24"/>
          <w:szCs w:val="24"/>
        </w:rPr>
      </w:pPr>
    </w:p>
    <w:p w14:paraId="47FA873A" w14:textId="77777777" w:rsidR="00D66995" w:rsidRDefault="00D66995" w:rsidP="00D66995">
      <w:pPr>
        <w:rPr>
          <w:rFonts w:ascii="Times New Roman" w:hAnsi="Times New Roman" w:cs="Times New Roman"/>
          <w:sz w:val="24"/>
          <w:szCs w:val="24"/>
        </w:rPr>
      </w:pPr>
    </w:p>
    <w:p w14:paraId="46F486FA" w14:textId="2C38FC18" w:rsidR="000962F3" w:rsidRPr="00D66995" w:rsidRDefault="000962F3" w:rsidP="00D66995"/>
    <w:sectPr w:rsidR="000962F3" w:rsidRPr="00D66995" w:rsidSect="001C515C">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5A99B" w14:textId="77777777" w:rsidR="005108D2" w:rsidRDefault="005108D2" w:rsidP="00D45C30">
      <w:pPr>
        <w:spacing w:after="0" w:line="240" w:lineRule="auto"/>
      </w:pPr>
      <w:r>
        <w:separator/>
      </w:r>
    </w:p>
  </w:endnote>
  <w:endnote w:type="continuationSeparator" w:id="0">
    <w:p w14:paraId="4E690BAC" w14:textId="77777777" w:rsidR="005108D2" w:rsidRDefault="005108D2" w:rsidP="00D45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BB814" w14:textId="77777777" w:rsidR="00E27456" w:rsidRDefault="00E274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F740D" w14:textId="77777777" w:rsidR="00E27456" w:rsidRDefault="00E274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4"/>
      </w:rPr>
      <w:id w:val="-2125151057"/>
      <w:docPartObj>
        <w:docPartGallery w:val="Page Numbers (Bottom of Page)"/>
        <w:docPartUnique/>
      </w:docPartObj>
    </w:sdtPr>
    <w:sdtEndPr/>
    <w:sdtContent>
      <w:sdt>
        <w:sdtPr>
          <w:rPr>
            <w:rFonts w:ascii="Arial" w:hAnsi="Arial" w:cs="Arial"/>
            <w:sz w:val="14"/>
          </w:rPr>
          <w:id w:val="860082579"/>
          <w:docPartObj>
            <w:docPartGallery w:val="Page Numbers (Top of Page)"/>
            <w:docPartUnique/>
          </w:docPartObj>
        </w:sdtPr>
        <w:sdtEndPr/>
        <w:sdtContent>
          <w:p w14:paraId="48F15077" w14:textId="00F182C8" w:rsidR="00FE14CD" w:rsidRPr="004C75C5" w:rsidRDefault="00FE14CD" w:rsidP="00FE14CD">
            <w:pPr>
              <w:pStyle w:val="Footer"/>
              <w:jc w:val="center"/>
              <w:rPr>
                <w:rFonts w:ascii="Arial" w:hAnsi="Arial" w:cs="Arial"/>
                <w:sz w:val="14"/>
              </w:rPr>
            </w:pPr>
            <w:r w:rsidRPr="004C75C5">
              <w:rPr>
                <w:rFonts w:ascii="Arial" w:hAnsi="Arial" w:cs="Arial"/>
                <w:sz w:val="14"/>
              </w:rPr>
              <w:t xml:space="preserve">Page </w:t>
            </w:r>
            <w:r w:rsidRPr="004C75C5">
              <w:rPr>
                <w:rFonts w:ascii="Arial" w:hAnsi="Arial" w:cs="Arial"/>
                <w:sz w:val="14"/>
              </w:rPr>
              <w:fldChar w:fldCharType="begin"/>
            </w:r>
            <w:r w:rsidRPr="004C75C5">
              <w:rPr>
                <w:rFonts w:ascii="Arial" w:hAnsi="Arial" w:cs="Arial"/>
                <w:sz w:val="14"/>
              </w:rPr>
              <w:instrText xml:space="preserve"> PAGE </w:instrText>
            </w:r>
            <w:r w:rsidRPr="004C75C5">
              <w:rPr>
                <w:rFonts w:ascii="Arial" w:hAnsi="Arial" w:cs="Arial"/>
                <w:sz w:val="14"/>
              </w:rPr>
              <w:fldChar w:fldCharType="separate"/>
            </w:r>
            <w:r w:rsidR="00E27456">
              <w:rPr>
                <w:rFonts w:ascii="Arial" w:hAnsi="Arial" w:cs="Arial"/>
                <w:noProof/>
                <w:sz w:val="14"/>
              </w:rPr>
              <w:t>1</w:t>
            </w:r>
            <w:r w:rsidRPr="004C75C5">
              <w:rPr>
                <w:rFonts w:ascii="Arial" w:hAnsi="Arial" w:cs="Arial"/>
                <w:sz w:val="14"/>
              </w:rPr>
              <w:fldChar w:fldCharType="end"/>
            </w:r>
            <w:r w:rsidRPr="004C75C5">
              <w:rPr>
                <w:rFonts w:ascii="Arial" w:hAnsi="Arial" w:cs="Arial"/>
                <w:sz w:val="14"/>
              </w:rPr>
              <w:t xml:space="preserve"> of </w:t>
            </w:r>
            <w:r w:rsidRPr="004C75C5">
              <w:rPr>
                <w:rFonts w:ascii="Arial" w:hAnsi="Arial" w:cs="Arial"/>
                <w:sz w:val="14"/>
              </w:rPr>
              <w:fldChar w:fldCharType="begin"/>
            </w:r>
            <w:r w:rsidRPr="004C75C5">
              <w:rPr>
                <w:rFonts w:ascii="Arial" w:hAnsi="Arial" w:cs="Arial"/>
                <w:sz w:val="14"/>
              </w:rPr>
              <w:instrText xml:space="preserve"> NUMPAGES  </w:instrText>
            </w:r>
            <w:r w:rsidRPr="004C75C5">
              <w:rPr>
                <w:rFonts w:ascii="Arial" w:hAnsi="Arial" w:cs="Arial"/>
                <w:sz w:val="14"/>
              </w:rPr>
              <w:fldChar w:fldCharType="separate"/>
            </w:r>
            <w:r w:rsidR="00E27456">
              <w:rPr>
                <w:rFonts w:ascii="Arial" w:hAnsi="Arial" w:cs="Arial"/>
                <w:noProof/>
                <w:sz w:val="14"/>
              </w:rPr>
              <w:t>1</w:t>
            </w:r>
            <w:r w:rsidRPr="004C75C5">
              <w:rPr>
                <w:rFonts w:ascii="Arial" w:hAnsi="Arial" w:cs="Arial"/>
                <w:sz w:val="14"/>
              </w:rPr>
              <w:fldChar w:fldCharType="end"/>
            </w:r>
          </w:p>
        </w:sdtContent>
      </w:sdt>
    </w:sdtContent>
  </w:sdt>
  <w:p w14:paraId="56A0EF66" w14:textId="77777777" w:rsidR="00FE14CD" w:rsidRDefault="00FE14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163AD" w14:textId="77777777" w:rsidR="005108D2" w:rsidRDefault="005108D2" w:rsidP="00D45C30">
      <w:pPr>
        <w:spacing w:after="0" w:line="240" w:lineRule="auto"/>
      </w:pPr>
      <w:r>
        <w:separator/>
      </w:r>
    </w:p>
  </w:footnote>
  <w:footnote w:type="continuationSeparator" w:id="0">
    <w:p w14:paraId="6B1371D4" w14:textId="77777777" w:rsidR="005108D2" w:rsidRDefault="005108D2" w:rsidP="00D45C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F1DFD" w14:textId="77777777" w:rsidR="00E27456" w:rsidRDefault="00E274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2C73D" w14:textId="408945E7" w:rsidR="00D45C30" w:rsidRPr="00D45C30" w:rsidRDefault="00D45C30" w:rsidP="00D45C30">
    <w:pPr>
      <w:jc w:val="center"/>
      <w:rPr>
        <w:sz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B4A6C" w14:textId="44F2EB99" w:rsidR="00FE14CD" w:rsidRDefault="00FE14CD" w:rsidP="00FE14CD">
    <w:pPr>
      <w:pStyle w:val="Header"/>
      <w:jc w:val="center"/>
    </w:pPr>
    <w:r>
      <w:rPr>
        <w:noProof/>
      </w:rPr>
      <w:drawing>
        <wp:inline distT="0" distB="0" distL="0" distR="0" wp14:anchorId="364528AB" wp14:editId="2ECB4D92">
          <wp:extent cx="2638676" cy="1458704"/>
          <wp:effectExtent l="0" t="0" r="952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M Outreach Competitio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38676" cy="1458704"/>
                  </a:xfrm>
                  <a:prstGeom prst="rect">
                    <a:avLst/>
                  </a:prstGeom>
                </pic:spPr>
              </pic:pic>
            </a:graphicData>
          </a:graphic>
        </wp:inline>
      </w:drawing>
    </w:r>
  </w:p>
  <w:p w14:paraId="3251DC64" w14:textId="77777777" w:rsidR="00FE14CD" w:rsidRDefault="00FE1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3DB1"/>
    <w:multiLevelType w:val="hybridMultilevel"/>
    <w:tmpl w:val="D6840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124B6"/>
    <w:multiLevelType w:val="hybridMultilevel"/>
    <w:tmpl w:val="01C8B1F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C6E51"/>
    <w:multiLevelType w:val="hybridMultilevel"/>
    <w:tmpl w:val="C55CEF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9578E7"/>
    <w:multiLevelType w:val="hybridMultilevel"/>
    <w:tmpl w:val="2356E9A0"/>
    <w:lvl w:ilvl="0" w:tplc="10000013">
      <w:start w:val="1"/>
      <w:numFmt w:val="upp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82A33E5"/>
    <w:multiLevelType w:val="hybridMultilevel"/>
    <w:tmpl w:val="B0DEB366"/>
    <w:lvl w:ilvl="0" w:tplc="DFC06C5E">
      <w:start w:val="1"/>
      <w:numFmt w:val="lowerLetter"/>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914390"/>
    <w:multiLevelType w:val="hybridMultilevel"/>
    <w:tmpl w:val="24A2DF42"/>
    <w:lvl w:ilvl="0" w:tplc="AABEDC1E">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5A1747"/>
    <w:multiLevelType w:val="hybridMultilevel"/>
    <w:tmpl w:val="48FA0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07299"/>
    <w:multiLevelType w:val="hybridMultilevel"/>
    <w:tmpl w:val="8F74D9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B06F01"/>
    <w:multiLevelType w:val="hybridMultilevel"/>
    <w:tmpl w:val="4A4CDC8E"/>
    <w:lvl w:ilvl="0" w:tplc="F93069E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333DC3"/>
    <w:multiLevelType w:val="hybridMultilevel"/>
    <w:tmpl w:val="A4502494"/>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A62D1B"/>
    <w:multiLevelType w:val="hybridMultilevel"/>
    <w:tmpl w:val="8BD4EED4"/>
    <w:lvl w:ilvl="0" w:tplc="AF0E57E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EF77B9"/>
    <w:multiLevelType w:val="hybridMultilevel"/>
    <w:tmpl w:val="966AFEF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8544624">
    <w:abstractNumId w:val="10"/>
  </w:num>
  <w:num w:numId="2" w16cid:durableId="534273730">
    <w:abstractNumId w:val="0"/>
  </w:num>
  <w:num w:numId="3" w16cid:durableId="58093916">
    <w:abstractNumId w:val="7"/>
  </w:num>
  <w:num w:numId="4" w16cid:durableId="1777677253">
    <w:abstractNumId w:val="11"/>
  </w:num>
  <w:num w:numId="5" w16cid:durableId="19623335">
    <w:abstractNumId w:val="1"/>
  </w:num>
  <w:num w:numId="6" w16cid:durableId="1560247422">
    <w:abstractNumId w:val="2"/>
  </w:num>
  <w:num w:numId="7" w16cid:durableId="719941770">
    <w:abstractNumId w:val="5"/>
  </w:num>
  <w:num w:numId="8" w16cid:durableId="826363769">
    <w:abstractNumId w:val="9"/>
  </w:num>
  <w:num w:numId="9" w16cid:durableId="1790120723">
    <w:abstractNumId w:val="8"/>
  </w:num>
  <w:num w:numId="10" w16cid:durableId="1064909545">
    <w:abstractNumId w:val="4"/>
  </w:num>
  <w:num w:numId="11" w16cid:durableId="1786390366">
    <w:abstractNumId w:val="3"/>
  </w:num>
  <w:num w:numId="12" w16cid:durableId="17967483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BCA"/>
    <w:rsid w:val="000962F3"/>
    <w:rsid w:val="000B7949"/>
    <w:rsid w:val="000F3FF5"/>
    <w:rsid w:val="001169CC"/>
    <w:rsid w:val="001C515C"/>
    <w:rsid w:val="002F4A8D"/>
    <w:rsid w:val="00383472"/>
    <w:rsid w:val="00430BCA"/>
    <w:rsid w:val="005108D2"/>
    <w:rsid w:val="00603D36"/>
    <w:rsid w:val="0061021A"/>
    <w:rsid w:val="00636DA0"/>
    <w:rsid w:val="007F7D1C"/>
    <w:rsid w:val="008A76B3"/>
    <w:rsid w:val="008F036B"/>
    <w:rsid w:val="008F1C60"/>
    <w:rsid w:val="00907BE3"/>
    <w:rsid w:val="00960635"/>
    <w:rsid w:val="009E2272"/>
    <w:rsid w:val="00A63ECC"/>
    <w:rsid w:val="00C37B76"/>
    <w:rsid w:val="00C50BB1"/>
    <w:rsid w:val="00D45C30"/>
    <w:rsid w:val="00D66995"/>
    <w:rsid w:val="00E27456"/>
    <w:rsid w:val="00EF3D1F"/>
    <w:rsid w:val="00F4373A"/>
    <w:rsid w:val="00F56B24"/>
    <w:rsid w:val="00FA6C49"/>
    <w:rsid w:val="00FE1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E8D9214"/>
  <w15:docId w15:val="{0D129CB4-85C1-4B11-B77A-DC97D704E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C60"/>
  </w:style>
  <w:style w:type="paragraph" w:styleId="Heading1">
    <w:name w:val="heading 1"/>
    <w:basedOn w:val="Normal"/>
    <w:next w:val="Normal"/>
    <w:link w:val="Heading1Char"/>
    <w:uiPriority w:val="9"/>
    <w:qFormat/>
    <w:rsid w:val="00F4373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BCA"/>
    <w:pPr>
      <w:ind w:left="720"/>
      <w:contextualSpacing/>
    </w:pPr>
  </w:style>
  <w:style w:type="paragraph" w:styleId="Header">
    <w:name w:val="header"/>
    <w:basedOn w:val="Normal"/>
    <w:link w:val="HeaderChar"/>
    <w:uiPriority w:val="99"/>
    <w:unhideWhenUsed/>
    <w:rsid w:val="00D45C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C30"/>
  </w:style>
  <w:style w:type="paragraph" w:styleId="Footer">
    <w:name w:val="footer"/>
    <w:basedOn w:val="Normal"/>
    <w:link w:val="FooterChar"/>
    <w:uiPriority w:val="99"/>
    <w:unhideWhenUsed/>
    <w:rsid w:val="00D45C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C30"/>
  </w:style>
  <w:style w:type="character" w:customStyle="1" w:styleId="Heading1Char">
    <w:name w:val="Heading 1 Char"/>
    <w:basedOn w:val="DefaultParagraphFont"/>
    <w:link w:val="Heading1"/>
    <w:uiPriority w:val="9"/>
    <w:rsid w:val="00F4373A"/>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F4373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4373A"/>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59"/>
    <w:rsid w:val="00F4373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1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4CD"/>
    <w:rPr>
      <w:rFonts w:ascii="Tahoma" w:hAnsi="Tahoma" w:cs="Tahoma"/>
      <w:sz w:val="16"/>
      <w:szCs w:val="16"/>
    </w:rPr>
  </w:style>
  <w:style w:type="paragraph" w:customStyle="1" w:styleId="paragraph">
    <w:name w:val="paragraph"/>
    <w:basedOn w:val="Normal"/>
    <w:rsid w:val="00D669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66995"/>
  </w:style>
  <w:style w:type="character" w:customStyle="1" w:styleId="eop">
    <w:name w:val="eop"/>
    <w:basedOn w:val="DefaultParagraphFont"/>
    <w:rsid w:val="00D66995"/>
  </w:style>
  <w:style w:type="character" w:styleId="Hyperlink">
    <w:name w:val="Hyperlink"/>
    <w:basedOn w:val="DefaultParagraphFont"/>
    <w:uiPriority w:val="99"/>
    <w:unhideWhenUsed/>
    <w:rsid w:val="00D669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78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libretexts.org/Ancillary_Materials/Exemplars_and_Case_Studies/Exemplars/Environmental_and_Green_chemistry/The_Use_of_Chemical_Dispersants_for_Oil_Spill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itopf.org/knowledge-resources/documents-guides/response-techniques/dispersants/" TargetMode="Externa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s://masgc.org/oilscience/oil-spill-science-dispersant-bkgrnd.pdf"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Version="0"/>
</file>

<file path=customXml/item2.xml><?xml version="1.0" encoding="utf-8"?>
<ct:contentTypeSchema xmlns:ct="http://schemas.microsoft.com/office/2006/metadata/contentType" xmlns:ma="http://schemas.microsoft.com/office/2006/metadata/properties/metaAttributes" ct:_="" ma:_="" ma:contentTypeName="Document" ma:contentTypeID="0x01010027533BE23443BC47BF714A640C6ED8AB" ma:contentTypeVersion="17" ma:contentTypeDescription="Create a new document." ma:contentTypeScope="" ma:versionID="6a0c522d5171adce429b8d37b15c2836">
  <xsd:schema xmlns:xsd="http://www.w3.org/2001/XMLSchema" xmlns:xs="http://www.w3.org/2001/XMLSchema" xmlns:p="http://schemas.microsoft.com/office/2006/metadata/properties" xmlns:ns2="18ee25d9-a262-45cb-80dd-5f2e5b23b4bc" xmlns:ns3="2f62837e-9087-48db-85a2-5cb0b47a2300" targetNamespace="http://schemas.microsoft.com/office/2006/metadata/properties" ma:root="true" ma:fieldsID="400a2d78015abfb3d6f4bb009581a8a9" ns2:_="" ns3:_="">
    <xsd:import namespace="18ee25d9-a262-45cb-80dd-5f2e5b23b4bc"/>
    <xsd:import namespace="2f62837e-9087-48db-85a2-5cb0b47a230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ee25d9-a262-45cb-80dd-5f2e5b23b4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5ec2d67-bf2d-4680-93ab-71d09366528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62837e-9087-48db-85a2-5cb0b47a230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fc286458-6419-43a5-84f5-9dfbc66d281e}" ma:internalName="TaxCatchAll" ma:showField="CatchAllData" ma:web="2f62837e-9087-48db-85a2-5cb0b47a230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f62837e-9087-48db-85a2-5cb0b47a2300" xsi:nil="true"/>
    <lcf76f155ced4ddcb4097134ff3c332f xmlns="18ee25d9-a262-45cb-80dd-5f2e5b23b4b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652B634-A432-41E0-8F48-6580B8C96391}">
  <ds:schemaRefs>
    <ds:schemaRef ds:uri="http://schemas.openxmlformats.org/officeDocument/2006/bibliography"/>
  </ds:schemaRefs>
</ds:datastoreItem>
</file>

<file path=customXml/itemProps2.xml><?xml version="1.0" encoding="utf-8"?>
<ds:datastoreItem xmlns:ds="http://schemas.openxmlformats.org/officeDocument/2006/customXml" ds:itemID="{760D465D-09C5-4CC4-8AE4-D7EDFFB63442}"/>
</file>

<file path=customXml/itemProps3.xml><?xml version="1.0" encoding="utf-8"?>
<ds:datastoreItem xmlns:ds="http://schemas.openxmlformats.org/officeDocument/2006/customXml" ds:itemID="{9BA37E76-CB7C-45F3-9D2B-F5700B0590C8}"/>
</file>

<file path=customXml/itemProps4.xml><?xml version="1.0" encoding="utf-8"?>
<ds:datastoreItem xmlns:ds="http://schemas.openxmlformats.org/officeDocument/2006/customXml" ds:itemID="{32C3CF4F-4C6F-4924-B48E-F081CBA8F4B9}"/>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W</dc:creator>
  <cp:lastModifiedBy>David Theuma</cp:lastModifiedBy>
  <cp:revision>4</cp:revision>
  <dcterms:created xsi:type="dcterms:W3CDTF">2022-06-30T20:00:00Z</dcterms:created>
  <dcterms:modified xsi:type="dcterms:W3CDTF">2023-08-24T15:33:00Z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0x01010027533BE23443BC47BF714A640C6ED8AB</vt:lpwstr>
  </property>
</Properties>
</file>