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CAF1" w14:textId="77777777" w:rsidR="0020025E" w:rsidRPr="006663C8" w:rsidRDefault="0065347C" w:rsidP="006663C8">
      <w:pPr>
        <w:spacing w:after="0"/>
        <w:jc w:val="center"/>
        <w:rPr>
          <w:rFonts w:ascii="Times New Roman" w:hAnsi="Times New Roman"/>
          <w:b/>
          <w:sz w:val="48"/>
          <w:lang w:eastAsia="en-GB"/>
        </w:rPr>
      </w:pPr>
      <w:r>
        <w:rPr>
          <w:rFonts w:ascii="Times New Roman" w:hAnsi="Times New Roman" w:eastAsia="Times New Roman"/>
          <w:b/>
          <w:i w:val="0"/>
          <w:color w:val="000000"/>
          <w:sz w:val="48"/>
        </w:rPr>
        <w:t>Evidence-Constrained Curriculum Synthesis</w:t>
      </w:r>
    </w:p>
    <w:p w14:paraId="497974E3" w14:textId="77777777" w:rsidR="0065347C" w:rsidRPr="0065347C" w:rsidRDefault="0065347C" w:rsidP="006663C8">
      <w:pPr>
        <w:pStyle w:val="ICESTTitle"/>
        <w:jc w:val="center"/>
        <w:rPr>
          <w:rFonts w:cs="Times New Roman"/>
          <w:b/>
          <w:sz w:val="48"/>
          <w:szCs w:val="48"/>
          <w:lang w:val="en-GB" w:eastAsia="en-GB"/>
        </w:rPr>
      </w:pPr>
      <w:r>
        <w:rPr>
          <w:rFonts w:ascii="Times New Roman" w:hAnsi="Times New Roman" w:eastAsia="Times New Roman"/>
          <w:b/>
          <w:i w:val="0"/>
          <w:color w:val="000000"/>
          <w:sz w:val="48"/>
        </w:rPr>
        <w:t>National Expert Data, Semantic Retrieval, and Semester-Aware Planning</w:t>
      </w:r>
    </w:p>
    <w:p w14:paraId="53861389" w14:textId="77777777" w:rsidR="00110ACC" w:rsidRPr="00A1732B" w:rsidRDefault="00110ACC" w:rsidP="006663C8">
      <w:pPr>
        <w:pStyle w:val="ICESTTitle"/>
        <w:rPr>
          <w:rFonts w:cs="Times New Roman"/>
          <w:sz w:val="28"/>
          <w:szCs w:val="46"/>
          <w:lang w:val="en-GB" w:eastAsia="en-GB"/>
        </w:rPr>
      </w:pPr>
    </w:p>
    <w:p w14:paraId="59A85E43" w14:textId="77777777" w:rsidR="00110ACC" w:rsidRDefault="00110ACC" w:rsidP="00700244">
      <w:pPr>
        <w:keepNext/>
        <w:suppressAutoHyphens/>
        <w:spacing w:after="0" w:line="240" w:lineRule="auto"/>
        <w:jc w:val="center"/>
        <w:rPr>
          <w:rFonts w:ascii="Times New Roman" w:hAnsi="Times New Roman"/>
          <w:noProof/>
          <w:sz w:val="28"/>
          <w:vertAlign w:val="superscript"/>
        </w:rPr>
      </w:pPr>
      <w:r>
        <w:rPr>
          <w:rFonts w:ascii="Times New Roman" w:hAnsi="Times New Roman" w:eastAsia="Times New Roman"/>
          <w:b w:val="0"/>
          <w:i w:val="0"/>
          <w:color w:val="000000"/>
          <w:sz w:val="28"/>
        </w:rPr>
        <w:t>Murat Kozhanov</w:t>
      </w:r>
    </w:p>
    <w:p w14:paraId="2B3514F8" w14:textId="77777777" w:rsidR="00700244" w:rsidRPr="00700244" w:rsidRDefault="00700244" w:rsidP="00700244">
      <w:pPr>
        <w:keepNext/>
        <w:suppressAutoHyphens/>
        <w:spacing w:after="0" w:line="240" w:lineRule="auto"/>
        <w:jc w:val="center"/>
        <w:rPr>
          <w:rFonts w:ascii="Times New Roman" w:hAnsi="Times New Roman"/>
          <w:noProof/>
          <w:sz w:val="28"/>
        </w:rPr>
      </w:pPr>
    </w:p>
    <w:p w14:paraId="2E7245C3" w14:textId="77777777" w:rsidR="00110ACC" w:rsidRPr="00046F08" w:rsidRDefault="00110ACC" w:rsidP="00110ACC">
      <w:pPr>
        <w:suppressAutoHyphens/>
        <w:spacing w:after="0" w:line="200" w:lineRule="exact"/>
        <w:jc w:val="center"/>
        <w:rPr>
          <w:rFonts w:ascii="Times New Roman" w:hAnsi="Times New Roman"/>
          <w:i/>
          <w:noProof/>
        </w:rPr>
      </w:pPr>
      <w:r>
        <w:rPr>
          <w:rFonts w:ascii="Times New Roman" w:hAnsi="Times New Roman" w:eastAsia="Times New Roman"/>
          <w:b w:val="0"/>
          <w:i/>
          <w:color w:val="000000"/>
          <w:sz w:val="20"/>
        </w:rPr>
        <w:t>Abylkas Saginov Karaganda Technical University, Karaganda, Kazakhstan</w:t>
      </w:r>
    </w:p>
    <w:p w14:paraId="70EB113E" w14:textId="77777777" w:rsidR="00110ACC" w:rsidRPr="00046F08" w:rsidRDefault="00110ACC" w:rsidP="00110ACC">
      <w:pPr>
        <w:suppressAutoHyphens/>
        <w:spacing w:after="0" w:line="200" w:lineRule="exact"/>
        <w:jc w:val="center"/>
        <w:rPr>
          <w:rFonts w:ascii="Times New Roman" w:hAnsi="Times New Roman"/>
          <w:i/>
          <w:noProof/>
        </w:rPr>
      </w:pPr>
      <w:r>
        <w:rPr>
          <w:rFonts w:ascii="Times New Roman" w:hAnsi="Times New Roman" w:eastAsia="Times New Roman"/>
          <w:b w:val="0"/>
          <w:i/>
          <w:color w:val="000000"/>
          <w:sz w:val="20"/>
        </w:rPr>
        <w:t>Doctoral School of Applied Informatics and Applied Mathematics, Óbuda University, Budapest, Hungary</w:t>
      </w:r>
    </w:p>
    <w:p w14:paraId="05017BB3" w14:textId="77777777" w:rsidR="00110ACC" w:rsidRPr="00572761" w:rsidRDefault="00110ACC" w:rsidP="00110ACC">
      <w:pPr>
        <w:suppressAutoHyphens/>
        <w:spacing w:after="0" w:line="200" w:lineRule="exact"/>
        <w:jc w:val="center"/>
        <w:rPr>
          <w:rFonts w:ascii="Times New Roman" w:hAnsi="Times New Roman"/>
          <w:i/>
          <w:noProof/>
          <w:sz w:val="14"/>
        </w:rPr>
      </w:pPr>
      <w:r>
        <w:rPr>
          <w:rFonts w:ascii="Times New Roman" w:hAnsi="Times New Roman" w:eastAsia="Times New Roman"/>
          <w:b w:val="0"/>
          <w:i/>
          <w:color w:val="000000"/>
          <w:sz w:val="20"/>
        </w:rPr>
        <w:t>Corresponding author: m.kozhanov@ktu.edu.kz</w:t>
      </w:r>
    </w:p>
    <w:p w14:paraId="24F34564" w14:textId="77777777" w:rsidR="00110ACC" w:rsidRPr="00572761" w:rsidRDefault="00110ACC" w:rsidP="00110ACC">
      <w:pPr>
        <w:pStyle w:val="ICESTTitle"/>
        <w:tabs>
          <w:tab w:val="left" w:pos="500"/>
        </w:tabs>
        <w:jc w:val="left"/>
        <w:rPr>
          <w:rFonts w:cs="Times New Roman"/>
          <w:sz w:val="32"/>
          <w:szCs w:val="46"/>
          <w:lang w:val="en-GB" w:eastAsia="en-GB"/>
        </w:rPr>
      </w:pPr>
    </w:p>
    <w:p w14:paraId="23B9CC1F" w14:textId="77777777" w:rsidR="00110ACC" w:rsidRDefault="00110ACC" w:rsidP="00110ACC">
      <w:pPr>
        <w:pStyle w:val="ICESTAbstract"/>
        <w:rPr>
          <w:i/>
          <w:iCs/>
          <w:sz w:val="20"/>
        </w:rPr>
        <w:sectPr w:rsidR="00110ACC" w:rsidSect="00B85B29">
          <w:pgSz w:w="11907" w:h="16839" w:code="9"/>
          <w:pgMar w:top="1138" w:right="1022" w:bottom="1138" w:left="1138" w:header="720" w:footer="432" w:gutter="0"/>
          <w:pgNumType w:start="97"/>
          <w:cols w:space="720"/>
          <w:docGrid w:linePitch="360"/>
        </w:sectPr>
      </w:pPr>
    </w:p>
    <w:p>
      <w:pPr>
        <w:pStyle w:val="ICESTAbstract"/>
        <w:ind w:firstLine="283"/>
        <w:jc w:val="both"/>
      </w:pPr>
      <w:r>
        <w:rPr>
          <w:rFonts w:ascii="Times New Roman" w:hAnsi="Times New Roman" w:eastAsia="Times New Roman"/>
          <w:b/>
          <w:i/>
          <w:color w:val="000000"/>
          <w:sz w:val="20"/>
        </w:rPr>
        <w:t xml:space="preserve">Abstract - </w:t>
      </w:r>
      <w:r>
        <w:rPr>
          <w:rFonts w:ascii="Times New Roman" w:hAnsi="Times New Roman" w:eastAsia="Times New Roman"/>
          <w:b w:val="0"/>
          <w:i w:val="0"/>
          <w:color w:val="000000"/>
          <w:sz w:val="20"/>
        </w:rPr>
        <w:t>This study presents Curriculum-KAG, a decision-support system that converts programme goals and learning outcomes into verifiable curricula. It combines a national expert corpus, multilingual semantic retrieval, course-prerequisite graphs, regulatory rules, and constrained semester scheduling. On an independent test set, the fine-tuned model achieved ROC-AUC 0.7666. Fresh plans without the Kazakhstan regulatory core reached 86.84% semantic-adjusted semester alignment, compared with 81.23% under the regulatory constraint, while both cohorts retained 100% profile provenance and zero hard violations.</w:t>
      </w:r>
    </w:p>
    <w:p>
      <w:pPr>
        <w:pStyle w:val="ICESTAbstract"/>
        <w:ind w:firstLine="283"/>
        <w:jc w:val="both"/>
      </w:pPr>
      <w:r>
        <w:rPr>
          <w:rFonts w:ascii="Times New Roman" w:hAnsi="Times New Roman" w:eastAsia="Times New Roman"/>
          <w:b/>
          <w:i/>
          <w:color w:val="000000"/>
          <w:sz w:val="20"/>
        </w:rPr>
        <w:t xml:space="preserve">Keywords - </w:t>
      </w:r>
      <w:r>
        <w:rPr>
          <w:rFonts w:ascii="Times New Roman" w:hAnsi="Times New Roman" w:eastAsia="Times New Roman"/>
          <w:b w:val="0"/>
          <w:i w:val="0"/>
          <w:color w:val="000000"/>
          <w:sz w:val="20"/>
        </w:rPr>
        <w:t>curriculum design, learning outcomes, semantic retrieval, expert knowledge, constrained optimization</w:t>
      </w:r>
    </w:p>
    <w:p>
      <w:pPr>
        <w:spacing w:before="120" w:after="40"/>
        <w:ind w:firstLine="0"/>
        <w:jc w:val="left"/>
      </w:pPr>
      <w:r>
        <w:rPr>
          <w:rFonts w:ascii="Times New Roman" w:hAnsi="Times New Roman" w:eastAsia="Times New Roman"/>
          <w:b/>
          <w:i w:val="0"/>
          <w:color w:val="000000"/>
          <w:sz w:val="22"/>
        </w:rPr>
        <w:t>1. Introduction</w:t>
      </w:r>
    </w:p>
    <w:p>
      <w:pPr>
        <w:pStyle w:val="ICESTNormal"/>
        <w:spacing w:line="240" w:lineRule="auto" w:after="0"/>
        <w:ind w:firstLine="283"/>
        <w:jc w:val="both"/>
      </w:pPr>
      <w:r>
        <w:rPr>
          <w:rFonts w:ascii="Times New Roman" w:hAnsi="Times New Roman" w:eastAsia="Times New Roman"/>
          <w:b w:val="0"/>
          <w:i w:val="0"/>
          <w:color w:val="000000"/>
          <w:sz w:val="22"/>
        </w:rPr>
        <w:t>Educational programmes must connect intended learning outcomes to courses, assessment, prerequisites, credit volumes, and a feasible sequence of semesters. This requirement follows constructive alignment and outcome-based education: the curriculum is valid only when each declared outcome is supported by observable learning activities and assessment evidence [1], [2]. In practice, programme teams must also satisfy education-level rules, domain quotas, national standards, and institutional constraints. These conditions make curriculum design a constrained evidence-integration problem rather than a free text-generation task.</w:t>
      </w:r>
    </w:p>
    <w:p>
      <w:pPr>
        <w:pStyle w:val="ICESTNormal"/>
        <w:spacing w:line="240" w:lineRule="auto" w:after="0"/>
        <w:ind w:firstLine="283"/>
        <w:jc w:val="both"/>
      </w:pPr>
      <w:r>
        <w:rPr>
          <w:rFonts w:ascii="Times New Roman" w:hAnsi="Times New Roman" w:eastAsia="Times New Roman"/>
          <w:b w:val="0"/>
          <w:i w:val="0"/>
          <w:color w:val="000000"/>
          <w:sz w:val="22"/>
        </w:rPr>
        <w:t>Curriculum-KAG addresses this problem by retrieving real courses from the national Registry of Educational Programs of Kazakhstan, predicting course-to-learning-outcome links, transferring historical expert evidence, constructing a prerequisite graph, and synthesising one or three curriculum alternatives. A deterministic verifier checks credits, semester loads, prerequisite direction, education level, domain relevance, regulatory components, and real learning-outcome coverage before a plan can become active. The system therefore supports academic decision-making without assigning final authority to artificial intelligence.</w:t>
      </w:r>
    </w:p>
    <w:p>
      <w:pPr>
        <w:pStyle w:val="ICESTNormal"/>
        <w:spacing w:line="240" w:lineRule="auto" w:after="0"/>
        <w:ind w:firstLine="283"/>
        <w:jc w:val="both"/>
      </w:pPr>
      <w:r>
        <w:rPr>
          <w:rFonts w:ascii="Times New Roman" w:hAnsi="Times New Roman" w:eastAsia="Times New Roman"/>
          <w:b w:val="0"/>
          <w:i w:val="0"/>
          <w:color w:val="000000"/>
          <w:sz w:val="22"/>
        </w:rPr>
        <w:t>The research question is whether a hybrid architecture can transform noisy multilingual registry data and probabilistic model scores into complete curricula whose structural invariants are machine-verifiable and whose individual choices remain understandable to an expert. The principal contribution is the integration of four forms of evidence: multilingual text semantics, longitudinal external expert judgements, graph structure, and formal programme constraints.</w:t>
      </w:r>
    </w:p>
    <w:p>
      <w:pPr>
        <w:spacing w:before="120" w:after="40"/>
        <w:ind w:firstLine="0"/>
        <w:jc w:val="left"/>
      </w:pPr>
      <w:r>
        <w:rPr>
          <w:rFonts w:ascii="Times New Roman" w:hAnsi="Times New Roman" w:eastAsia="Times New Roman"/>
          <w:b/>
          <w:i w:val="0"/>
          <w:color w:val="000000"/>
          <w:sz w:val="22"/>
        </w:rPr>
        <w:t>1.1. Research Hypotheses and Contributions</w:t>
      </w:r>
    </w:p>
    <w:p>
      <w:pPr>
        <w:pStyle w:val="ICESTNormal"/>
        <w:spacing w:line="240" w:lineRule="auto" w:after="0"/>
        <w:ind w:firstLine="283"/>
        <w:jc w:val="both"/>
      </w:pPr>
      <w:r>
        <w:rPr>
          <w:rFonts w:ascii="Times New Roman" w:hAnsi="Times New Roman" w:eastAsia="Times New Roman"/>
          <w:b w:val="0"/>
          <w:i w:val="0"/>
          <w:color w:val="000000"/>
          <w:sz w:val="22"/>
        </w:rPr>
        <w:t>The study examines four hypotheses. H1 states that the longitudinal EPVO corpus contains a learnable signal that separates supported and unsupported course-LO pairs. H2 states that programme-scoped expert memory improves the ordering of candidates beyond semantic similarity alone. H3 states that a constrained planner can convert probabilistic links into exact-credit plans without hard violations. H4 states that regulatory and international modes require separate denominators because protected statutory components are not ordinary professional repository courses.</w:t>
      </w:r>
    </w:p>
    <w:p>
      <w:pPr>
        <w:pStyle w:val="ICESTNormal"/>
        <w:spacing w:line="240" w:lineRule="auto" w:after="0"/>
        <w:ind w:firstLine="283"/>
        <w:jc w:val="both"/>
      </w:pPr>
      <w:r>
        <w:rPr>
          <w:rFonts w:ascii="Times New Roman" w:hAnsi="Times New Roman" w:eastAsia="Times New Roman"/>
          <w:b w:val="0"/>
          <w:i w:val="0"/>
          <w:color w:val="000000"/>
          <w:sz w:val="22"/>
        </w:rPr>
        <w:t>The first contribution is a reproducible national dataset pipeline in which raw records, normalized entities, approved courses, and generation candidates are separated. The second is a two-stage recommendation architecture: a semantic classifier retrieves plausible links and an expert-memory reranker reorders the shortlist using historical evidence. The third is a graph-aware planner that treats credits, levels, domains, prerequisites, and statutory blocks as constraints rather than after-the-fact warnings.</w:t>
      </w:r>
    </w:p>
    <w:p>
      <w:pPr>
        <w:pStyle w:val="ICESTNormal"/>
        <w:spacing w:line="240" w:lineRule="auto" w:after="0"/>
        <w:ind w:firstLine="283"/>
        <w:jc w:val="both"/>
      </w:pPr>
      <w:r>
        <w:rPr>
          <w:rFonts w:ascii="Times New Roman" w:hAnsi="Times New Roman" w:eastAsia="Times New Roman"/>
          <w:b w:val="0"/>
          <w:i w:val="0"/>
          <w:color w:val="000000"/>
          <w:sz w:val="22"/>
        </w:rPr>
        <w:t>The fourth contribution is an explanation and feedback protocol. Every course can be traced to its source and linked outcomes; model evidence and expert evidence remain distinguishable; uncertain bridge modules are visible; and expert decisions are versioned. The fifth contribution is an independent validation layer that evaluates the stored plan after generation instead of trusting an internal optimisation score.</w:t>
      </w:r>
    </w:p>
    <w:p>
      <w:pPr>
        <w:pStyle w:val="ICESTNormal"/>
        <w:spacing w:line="240" w:lineRule="auto" w:after="0"/>
        <w:ind w:firstLine="283"/>
        <w:jc w:val="both"/>
      </w:pPr>
      <w:r>
        <w:rPr>
          <w:rFonts w:ascii="Times New Roman" w:hAnsi="Times New Roman" w:eastAsia="Times New Roman"/>
          <w:b w:val="0"/>
          <w:i w:val="0"/>
          <w:color w:val="000000"/>
          <w:sz w:val="22"/>
        </w:rPr>
        <w:t>Unlike a system that asks a language model to write a plausible list of course names, Curriculum-KAG operates over a bounded approved repository and preserves whole-course credits. Generative AI is used only in explicitly marked assistance functions. The core curriculum remains reproducible when external APIs are unavailable, a requirement for institutional use and scientific replication.</w:t>
      </w:r>
    </w:p>
    <w:p>
      <w:pPr>
        <w:spacing w:before="120" w:after="40"/>
        <w:ind w:firstLine="0"/>
        <w:jc w:val="left"/>
      </w:pPr>
      <w:r>
        <w:rPr>
          <w:rFonts w:ascii="Times New Roman" w:hAnsi="Times New Roman" w:eastAsia="Times New Roman"/>
          <w:b/>
          <w:i w:val="0"/>
          <w:color w:val="000000"/>
          <w:sz w:val="22"/>
        </w:rPr>
        <w:t>2. Related Work</w:t>
      </w:r>
    </w:p>
    <w:p>
      <w:pPr>
        <w:pStyle w:val="ICESTNormal"/>
        <w:spacing w:line="240" w:lineRule="auto" w:after="0"/>
        <w:ind w:firstLine="283"/>
        <w:jc w:val="both"/>
      </w:pPr>
      <w:r>
        <w:rPr>
          <w:rFonts w:ascii="Times New Roman" w:hAnsi="Times New Roman" w:eastAsia="Times New Roman"/>
          <w:b w:val="0"/>
          <w:i w:val="0"/>
          <w:color w:val="000000"/>
          <w:sz w:val="22"/>
        </w:rPr>
        <w:t>Sentence-BERT maps sentences to a shared vector space and enables efficient semantic retrieval [3]. Multilingual sentence representations are particularly important for the Kazakhstan context because course titles and descriptions appear in Kazakh, Russian, and English. BM25 complements dense retrieval by preserving exact technical expressions that may be diluted in a sentence embedding [4]. Knowledge-augmented generation extends retrieval by attaching structured entities, provenance, and rules to retrieved text [5].</w:t>
      </w:r>
    </w:p>
    <w:p>
      <w:pPr>
        <w:pStyle w:val="ICESTNormal"/>
        <w:spacing w:line="240" w:lineRule="auto" w:after="0"/>
        <w:ind w:firstLine="283"/>
        <w:jc w:val="both"/>
      </w:pPr>
      <w:r>
        <w:rPr>
          <w:rFonts w:ascii="Times New Roman" w:hAnsi="Times New Roman" w:eastAsia="Times New Roman"/>
          <w:b w:val="0"/>
          <w:i w:val="0"/>
          <w:color w:val="000000"/>
          <w:sz w:val="22"/>
        </w:rPr>
        <w:t>Curriculum construction also resembles multi-objective optimisation. Coverage, relevance, diversity, and interdisciplinarity must be maximised while credit deviation, duplication, prerequisite violations, and domain imbalance are minimised. NSGA-II provides a useful experimental Pareto-search branch [6], but the operational path in this study is a deterministic constrained planner with repair heuristics. This distinction improves reproducibility: the same input can be regenerated and independently verified, while evolutionary search remains available for controlled comparison.</w:t>
      </w:r>
    </w:p>
    <w:p>
      <w:pPr>
        <w:pStyle w:val="ICESTNormal"/>
        <w:spacing w:line="240" w:lineRule="auto" w:after="0"/>
        <w:ind w:firstLine="283"/>
        <w:jc w:val="both"/>
      </w:pPr>
      <w:r>
        <w:rPr>
          <w:rFonts w:ascii="Times New Roman" w:hAnsi="Times New Roman" w:eastAsia="Times New Roman"/>
          <w:b w:val="0"/>
          <w:i w:val="0"/>
          <w:color w:val="000000"/>
          <w:sz w:val="22"/>
        </w:rPr>
        <w:t>Graph neural networks and recurrent architectures can represent curricular dependencies, but higher complexity is not automatically beneficial. Controlled GNN and LSTM pilots did not outperform the semantic baseline on the available frozen splits. The production pipeline therefore retains SBERT-based retrieval and uses graph reasoning for prerequisite closure and verification rather than promoting an unconfirmed neural architecture [7]-[9].</w:t>
      </w:r>
    </w:p>
    <w:p>
      <w:pPr>
        <w:spacing w:before="120" w:after="40"/>
        <w:ind w:firstLine="0"/>
        <w:jc w:val="left"/>
      </w:pPr>
      <w:r>
        <w:rPr>
          <w:rFonts w:ascii="Times New Roman" w:hAnsi="Times New Roman" w:eastAsia="Times New Roman"/>
          <w:b/>
          <w:i w:val="0"/>
          <w:color w:val="000000"/>
          <w:sz w:val="22"/>
        </w:rPr>
        <w:t>3. Data and Provenance</w:t>
      </w:r>
    </w:p>
    <w:p>
      <w:pPr>
        <w:pStyle w:val="ICESTNormal"/>
        <w:spacing w:line="240" w:lineRule="auto" w:after="0"/>
        <w:ind w:firstLine="283"/>
        <w:jc w:val="both"/>
      </w:pPr>
      <w:r>
        <w:rPr>
          <w:rFonts w:ascii="Times New Roman" w:hAnsi="Times New Roman" w:eastAsia="Times New Roman"/>
          <w:b w:val="0"/>
          <w:i w:val="0"/>
          <w:color w:val="000000"/>
          <w:sz w:val="22"/>
        </w:rPr>
        <w:t>The source corpus was collected from the public Registry of Educational Programs within the Unified Higher Education Platform. The registry reflects a two-stage academic process. First, university departments formulate a programme and map courses to learning outcomes. Second, external experts review these mappings and assign low, medium, or high achievability. The recovered numerical values 0, 0.5, and 1 therefore represent expert relationship strength rather than neural-model confidence.</w:t>
      </w:r>
    </w:p>
    <w:p>
      <w:pPr>
        <w:pStyle w:val="ICESTNormal"/>
        <w:spacing w:line="240" w:lineRule="auto" w:after="0"/>
        <w:ind w:firstLine="283"/>
        <w:jc w:val="both"/>
      </w:pPr>
      <w:r>
        <w:rPr>
          <w:rFonts w:ascii="Times New Roman" w:hAnsi="Times New Roman" w:eastAsia="Times New Roman"/>
          <w:b w:val="0"/>
          <w:i w:val="0"/>
          <w:color w:val="000000"/>
          <w:sz w:val="22"/>
        </w:rPr>
        <w:t>The data pipeline preserves four layers: immutable raw EPVO records; normalized and deduplicated programmes, courses, outcomes, directions, and expert links; an approved multilingual course repository; and project-scoped generation candidates. This separation prevents raw imports from contaminating active curricula and makes every selected course traceable to its source. The operational PostgreSQL/pgvector repository stores three-language titles and descriptions, embeddings, prerequisite edges, model scores, expert feedback, and versioned plans.</w:t>
      </w:r>
    </w:p>
    <w:p>
      <w:pPr>
        <w:pStyle w:val="ICESTNormal"/>
        <w:spacing w:line="240" w:lineRule="auto" w:after="0"/>
        <w:ind w:firstLine="283"/>
        <w:jc w:val="both"/>
      </w:pPr>
      <w:r>
        <w:rPr>
          <w:rFonts w:ascii="Times New Roman" w:hAnsi="Times New Roman" w:eastAsia="Times New Roman"/>
          <w:b w:val="0"/>
          <w:i w:val="0"/>
          <w:color w:val="000000"/>
          <w:sz w:val="22"/>
        </w:rPr>
        <w:t>Programme-level train, validation, and test splits were used to reduce contextual leakage. All cards originating from one educational programme remain in the same split. Model thresholds and mixture weights are selected on validation data and then frozen before test evaluation. Dataset and model reports retain the seed, configuration, checksums, and split identifiers.</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873"/>
        <w:gridCol w:w="4873"/>
      </w:tblGrid>
      <w:tr>
        <w:trPr>
          <w:tblHeader w:val="true"/>
        </w:trPr>
        <w:tc>
          <w:tcPr>
            <w:tcW w:type="dxa" w:w="4873"/>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Dataset entity</w:t>
            </w:r>
          </w:p>
        </w:tc>
        <w:tc>
          <w:tcPr>
            <w:tcW w:type="dxa" w:w="4873"/>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Count</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Educational programmes</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12,215</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Raw course records</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408,638</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Raw learning outcomes</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124,521</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Normalized courses</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191,292</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Normalized expert links</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932,483</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Pairs with numerical expert labels</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800,793</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Approved operational courses</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21,525</w:t>
            </w:r>
          </w:p>
        </w:tc>
      </w:tr>
    </w:tbl>
    <w:p>
      <w:pPr>
        <w:pStyle w:val="ICESTNormal"/>
        <w:ind w:firstLine="0"/>
        <w:jc w:val="center"/>
      </w:pPr>
      <w:r>
        <w:rPr>
          <w:rFonts w:ascii="Times New Roman" w:hAnsi="Times New Roman" w:eastAsia="Times New Roman"/>
          <w:b w:val="0"/>
          <w:i/>
          <w:color w:val="000000"/>
          <w:sz w:val="20"/>
        </w:rPr>
        <w:t>Table 1. EPVO corpus and operational repository.</w:t>
      </w:r>
    </w:p>
    <w:tbl>
      <w:tblPr>
        <w:tblW w:type="auto" w:w="0"/>
        <w:jc w:val="center"/>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747"/>
      </w:tblGrid>
      <w:tr>
        <w:tc>
          <w:tcPr>
            <w:tcW w:type="dxa" w:w="9747"/>
            <w:shd w:fill="F2F2F2"/>
            <w:tcMar>
              <w:top w:w="180" w:type="dxa"/>
              <w:start w:w="160" w:type="dxa"/>
              <w:bottom w:w="180" w:type="dxa"/>
              <w:end w:w="160" w:type="dxa"/>
            </w:tcMar>
          </w:tcPr>
          <w:p>
            <w:pPr>
              <w:jc w:val="center"/>
            </w:pPr>
            <w:r>
              <w:rPr>
                <w:rFonts w:ascii="Times New Roman" w:hAnsi="Times New Roman" w:eastAsia="Times New Roman"/>
                <w:b/>
                <w:i w:val="0"/>
                <w:color w:val="000000"/>
                <w:sz w:val="20"/>
              </w:rPr>
              <w:t>Figure 2 placeholder</w:t>
            </w:r>
          </w:p>
        </w:tc>
      </w:tr>
    </w:tbl>
    <w:p>
      <w:pPr>
        <w:pStyle w:val="ICESTNormal"/>
        <w:ind w:firstLine="0"/>
        <w:jc w:val="center"/>
      </w:pPr>
      <w:r>
        <w:rPr>
          <w:rFonts w:ascii="Times New Roman" w:hAnsi="Times New Roman" w:eastAsia="Times New Roman"/>
          <w:b w:val="0"/>
          <w:i/>
          <w:color w:val="000000"/>
          <w:sz w:val="20"/>
        </w:rPr>
        <w:t>Figure 2. Layered EPVO data provenance and expert-label formation.</w:t>
      </w:r>
    </w:p>
    <w:p>
      <w:pPr>
        <w:pStyle w:val="ICESTNormal"/>
        <w:ind w:firstLine="0"/>
        <w:jc w:val="both"/>
      </w:pPr>
      <w:r>
        <w:rPr>
          <w:rFonts w:ascii="Times New Roman" w:hAnsi="Times New Roman" w:eastAsia="Times New Roman"/>
          <w:b/>
          <w:i w:val="0"/>
          <w:color w:val="000000"/>
          <w:sz w:val="16"/>
        </w:rPr>
        <w:t xml:space="preserve">Draft image-generation prompt: </w:t>
      </w:r>
      <w:r>
        <w:rPr>
          <w:rFonts w:ascii="Times New Roman" w:hAnsi="Times New Roman" w:eastAsia="Times New Roman"/>
          <w:b w:val="0"/>
          <w:i/>
          <w:color w:val="000000"/>
          <w:sz w:val="16"/>
        </w:rPr>
        <w:t>Create a scientific data-lineage diagram. Show university department design, internal course-LO mapping, external expert votes 0/0.5/1, immutable raw EPVO records, normalization and deduplication, approved multilingual repository, programme-level train/validation/test split, embeddings, and generation candidates. Clearly separate AI prediction from expert evidence. White background, flat vector, legible at one-column width, no invented counts.</w:t>
      </w:r>
    </w:p>
    <w:p>
      <w:pPr>
        <w:spacing w:before="120" w:after="40"/>
        <w:ind w:firstLine="0"/>
        <w:jc w:val="left"/>
      </w:pPr>
      <w:r>
        <w:rPr>
          <w:rFonts w:ascii="Times New Roman" w:hAnsi="Times New Roman" w:eastAsia="Times New Roman"/>
          <w:b/>
          <w:i w:val="0"/>
          <w:color w:val="000000"/>
          <w:sz w:val="22"/>
        </w:rPr>
        <w:t>4. Method</w:t>
      </w:r>
    </w:p>
    <w:p>
      <w:pPr>
        <w:pStyle w:val="ICESTNormal"/>
        <w:spacing w:line="240" w:lineRule="auto" w:after="0"/>
        <w:ind w:firstLine="283"/>
        <w:jc w:val="both"/>
      </w:pPr>
      <w:r>
        <w:rPr>
          <w:rFonts w:ascii="Times New Roman" w:hAnsi="Times New Roman" w:eastAsia="Times New Roman"/>
          <w:b w:val="0"/>
          <w:i w:val="0"/>
          <w:color w:val="000000"/>
          <w:sz w:val="22"/>
        </w:rPr>
        <w:t>For course c_i and learning outcome o_j, the multilingual encoder g_theta produces L2-normalised vectors. Their semantic similarity is the cosine of the angle between the vectors. A lexical score is added to protect exact professional terminology. The hybrid retrieval score is defined by Equation (1), where alpha is selected on validation data.</w:t>
      </w:r>
    </w:p>
    <w:p>
      <w:pPr>
        <w:pStyle w:val="ICESTNormal"/>
        <w:spacing w:line="240" w:lineRule="auto" w:after="0"/>
        <w:ind w:firstLine="283"/>
        <w:jc w:val="both"/>
      </w:pPr>
      <w:r>
        <w:rPr>
          <w:rFonts w:ascii="Times New Roman" w:hAnsi="Times New Roman" w:eastAsia="Times New Roman"/>
          <w:b w:val="0"/>
          <w:i w:val="0"/>
          <w:color w:val="000000"/>
          <w:sz w:val="22"/>
        </w:rPr>
        <w:t>Historical expert evidence is transferred conservatively. An EPVO score is used only when the source learning outcome and the new outcome share sufficient semantic or lexical content. Several expert votes are aggregated without collapsing medium and high relations into a single binary label. AI and EPVO scores are displayed separately because they answer different questions: the former is a model prediction for a new pair; the latter is evidence from previously reviewed programmes.</w:t>
      </w:r>
    </w:p>
    <w:p>
      <w:pPr>
        <w:pStyle w:val="ICESTNormal"/>
        <w:spacing w:line="240" w:lineRule="auto" w:after="0"/>
        <w:ind w:firstLine="283"/>
        <w:jc w:val="both"/>
      </w:pPr>
      <w:r>
        <w:rPr>
          <w:rFonts w:ascii="Times New Roman" w:hAnsi="Times New Roman" w:eastAsia="Times New Roman"/>
          <w:b w:val="0"/>
          <w:i w:val="0"/>
          <w:color w:val="000000"/>
          <w:sz w:val="22"/>
        </w:rPr>
        <w:t>A course is admitted only if it belongs to the selected education level and programme scope, supports at least one learning outcome, satisfies the domain guard, and can participate in a feasible prerequisite closure. Real EPVO courses are preferred. A bridge module is created only when no sufficiently supported real course closes an outcome or an exact credit gap, and it is visibly marked for expert confirmation.</w:t>
      </w:r>
    </w:p>
    <w:p>
      <w:pPr>
        <w:pStyle w:val="ICESTNormal"/>
        <w:spacing w:line="240" w:lineRule="auto" w:after="0"/>
        <w:ind w:firstLine="283"/>
        <w:jc w:val="both"/>
      </w:pPr>
      <w:r>
        <w:rPr>
          <w:rFonts w:ascii="Times New Roman" w:hAnsi="Times New Roman" w:eastAsia="Times New Roman"/>
          <w:b w:val="0"/>
          <w:i w:val="0"/>
          <w:color w:val="000000"/>
          <w:sz w:val="22"/>
        </w:rPr>
        <w:t>The planner assigns courses to semesters using the typical EPVO semester, prerequisite depth, semantic complexity, and semester capacity. Reranking is constrained: moving a course closer to its historical semester is allowed only if both source and destination loads remain inside the permitted interval and all prerequisite edges still point forward. This prevents a superficially better similarity score from producing an impossible plan.</w:t>
      </w:r>
    </w:p>
    <w:p>
      <w:pPr>
        <w:pStyle w:val="ICESTNormal"/>
        <w:spacing w:before="60" w:after="60"/>
        <w:ind w:firstLine="0"/>
        <w:jc w:val="center"/>
      </w:pPr>
      <w:r>
        <w:rPr>
          <w:rFonts w:ascii="Cambria Math" w:hAnsi="Cambria Math" w:eastAsia="Cambria Math"/>
          <w:b w:val="0"/>
          <w:i/>
          <w:color w:val="000000"/>
          <w:sz w:val="20"/>
        </w:rPr>
        <w:t>R(c_i,o_j) = α cos(g_θ(c_i),g_θ(o_j)) + (1-α) BM25(c_i,o_j)    (1)</w:t>
      </w:r>
    </w:p>
    <w:p>
      <w:pPr>
        <w:pStyle w:val="ICESTNormal"/>
        <w:spacing w:before="60" w:after="60"/>
        <w:ind w:firstLine="0"/>
        <w:jc w:val="center"/>
      </w:pPr>
      <w:r>
        <w:rPr>
          <w:rFonts w:ascii="Cambria Math" w:hAnsi="Cambria Math" w:eastAsia="Cambria Math"/>
          <w:b w:val="0"/>
          <w:i/>
          <w:color w:val="000000"/>
          <w:sz w:val="20"/>
        </w:rPr>
        <w:t>e_ij = max_l [ y_exp(c_i,l) · sim(o_j,l) ],  sim(o_j,l) ≥ τ_e    (2)</w:t>
      </w:r>
    </w:p>
    <w:p>
      <w:pPr>
        <w:pStyle w:val="ICESTNormal"/>
        <w:spacing w:before="60" w:after="60"/>
        <w:ind w:firstLine="0"/>
        <w:jc w:val="center"/>
      </w:pPr>
      <w:r>
        <w:rPr>
          <w:rFonts w:ascii="Cambria Math" w:hAnsi="Cambria Math" w:eastAsia="Cambria Math"/>
          <w:b w:val="0"/>
          <w:i/>
          <w:color w:val="000000"/>
          <w:sz w:val="20"/>
        </w:rPr>
        <w:t>Cov(o_j,P) = 1 - ∏_(c_i∈P) (1-w_ij)    (3)</w:t>
      </w:r>
    </w:p>
    <w:p>
      <w:pPr>
        <w:pStyle w:val="ICESTNormal"/>
        <w:spacing w:before="60" w:after="60"/>
        <w:ind w:firstLine="0"/>
        <w:jc w:val="center"/>
      </w:pPr>
      <w:r>
        <w:rPr>
          <w:rFonts w:ascii="Cambria Math" w:hAnsi="Cambria Math" w:eastAsia="Cambria Math"/>
          <w:b w:val="0"/>
          <w:i/>
          <w:color w:val="000000"/>
          <w:sz w:val="20"/>
        </w:rPr>
        <w:t>P* = arg max_P [λ_1 Cov + λ_2 Rel + λ_3 Div - λ_4 Viol - λ_5 Red]    (4)</w:t>
      </w:r>
    </w:p>
    <w:p>
      <w:pPr>
        <w:pStyle w:val="ICESTNormal"/>
        <w:spacing w:before="60" w:after="60"/>
        <w:ind w:firstLine="0"/>
        <w:jc w:val="center"/>
      </w:pPr>
      <w:r>
        <w:rPr>
          <w:rFonts w:ascii="Cambria Math" w:hAnsi="Cambria Math" w:eastAsia="Cambria Math"/>
          <w:b w:val="0"/>
          <w:i/>
          <w:color w:val="000000"/>
          <w:sz w:val="20"/>
        </w:rPr>
        <w:t>s_i* = arg min_s |s-t_i|,  27 ≤ C_s(P) ≤ 33,  s(pre_i) &lt; s_i    (5)</w:t>
      </w:r>
    </w:p>
    <w:tbl>
      <w:tblPr>
        <w:tblW w:type="auto" w:w="0"/>
        <w:jc w:val="center"/>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747"/>
      </w:tblGrid>
      <w:tr>
        <w:tc>
          <w:tcPr>
            <w:tcW w:type="dxa" w:w="9747"/>
            <w:shd w:fill="F2F2F2"/>
            <w:tcMar>
              <w:top w:w="180" w:type="dxa"/>
              <w:start w:w="160" w:type="dxa"/>
              <w:bottom w:w="180" w:type="dxa"/>
              <w:end w:w="160" w:type="dxa"/>
            </w:tcMar>
          </w:tcPr>
          <w:p>
            <w:pPr>
              <w:jc w:val="center"/>
            </w:pPr>
            <w:r>
              <w:rPr>
                <w:rFonts w:ascii="Times New Roman" w:hAnsi="Times New Roman" w:eastAsia="Times New Roman"/>
                <w:b/>
                <w:i w:val="0"/>
                <w:color w:val="000000"/>
                <w:sz w:val="20"/>
              </w:rPr>
              <w:t>Figure 1 placeholder</w:t>
            </w:r>
          </w:p>
        </w:tc>
      </w:tr>
    </w:tbl>
    <w:p>
      <w:pPr>
        <w:pStyle w:val="ICESTNormal"/>
        <w:ind w:firstLine="0"/>
        <w:jc w:val="center"/>
      </w:pPr>
      <w:r>
        <w:rPr>
          <w:rFonts w:ascii="Times New Roman" w:hAnsi="Times New Roman" w:eastAsia="Times New Roman"/>
          <w:b w:val="0"/>
          <w:i/>
          <w:color w:val="000000"/>
          <w:sz w:val="20"/>
        </w:rPr>
        <w:t>Figure 1. End-to-end evidence-constrained architecture.</w:t>
      </w:r>
    </w:p>
    <w:p>
      <w:pPr>
        <w:pStyle w:val="ICESTNormal"/>
        <w:ind w:firstLine="0"/>
        <w:jc w:val="both"/>
      </w:pPr>
      <w:r>
        <w:rPr>
          <w:rFonts w:ascii="Times New Roman" w:hAnsi="Times New Roman" w:eastAsia="Times New Roman"/>
          <w:b/>
          <w:i w:val="0"/>
          <w:color w:val="000000"/>
          <w:sz w:val="16"/>
        </w:rPr>
        <w:t xml:space="preserve">Draft image-generation prompt: </w:t>
      </w:r>
      <w:r>
        <w:rPr>
          <w:rFonts w:ascii="Times New Roman" w:hAnsi="Times New Roman" w:eastAsia="Times New Roman"/>
          <w:b w:val="0"/>
          <w:i/>
          <w:color w:val="000000"/>
          <w:sz w:val="16"/>
        </w:rPr>
        <w:t>Create a publication-grade vector diagram, white background, two-column-journal readable. Show Programme Goal and Learning Outcomes -&gt; Scoped EPVO Repository -&gt; multilingual SBERT plus BM25 -&gt; EPVO expert-memory reranker -&gt; course-prerequisite knowledge graph -&gt; deterministic constrained planner -&gt; independent verifier -&gt; expert confirmation. Mark PostgreSQL/pgvector as the provenance store. Use navy, teal, green, and amber; no robots, no neon, no fictional metrics; editable SVG and 300-dpi PNG.</w:t>
      </w:r>
    </w:p>
    <w:p>
      <w:pPr>
        <w:spacing w:before="120" w:after="40"/>
        <w:ind w:firstLine="0"/>
        <w:jc w:val="left"/>
      </w:pPr>
      <w:r>
        <w:rPr>
          <w:rFonts w:ascii="Times New Roman" w:hAnsi="Times New Roman" w:eastAsia="Times New Roman"/>
          <w:b/>
          <w:i w:val="0"/>
          <w:color w:val="000000"/>
          <w:sz w:val="22"/>
        </w:rPr>
        <w:t>4.1. Auditable Admission and Domain Evidence</w:t>
      </w:r>
    </w:p>
    <w:p>
      <w:pPr>
        <w:pStyle w:val="ICESTNormal"/>
        <w:spacing w:line="240" w:lineRule="auto" w:after="0"/>
        <w:ind w:firstLine="283"/>
        <w:jc w:val="both"/>
      </w:pPr>
      <w:r>
        <w:rPr>
          <w:rFonts w:ascii="Times New Roman" w:hAnsi="Times New Roman" w:eastAsia="Times New Roman"/>
          <w:b w:val="0"/>
          <w:i w:val="0"/>
          <w:color w:val="000000"/>
          <w:sz w:val="22"/>
        </w:rPr>
        <w:t>Candidate admission is stricter than nearest-neighbour retrieval. Let I_level, I_scope, I_LO, and I_context denote binary checks for education level, EPVO direction or group, minimum learning-outcome evidence, and absence of a foreign professional context. A candidate can enter the optimisation pool only when their product equals one. This rule blocks, for example, a master's robotics course from entering a bachelor's programme and prevents a generic occurrence of the word digital from legitimising an unrelated professional discipline.</w:t>
      </w:r>
    </w:p>
    <w:p>
      <w:pPr>
        <w:pStyle w:val="ICESTNormal"/>
        <w:spacing w:line="240" w:lineRule="auto" w:after="0"/>
        <w:ind w:firstLine="283"/>
        <w:jc w:val="both"/>
      </w:pPr>
      <w:r>
        <w:rPr>
          <w:rFonts w:ascii="Times New Roman" w:hAnsi="Times New Roman" w:eastAsia="Times New Roman"/>
          <w:b w:val="0"/>
          <w:i w:val="0"/>
          <w:color w:val="000000"/>
          <w:sz w:val="22"/>
        </w:rPr>
        <w:t>Deduplication is performed before domain accounting. Several source cards may normalize to one canonical course while retaining evidence from different programmes. Domain evidence is therefore aggregated over every source record rather than inherited from the last database row. Exact programme-group evidence has priority over direction-level evidence, while a course supported by both selected domains can contribute to an interdisciplinary quota. The approach prevents database ordering from changing curriculum composition.</w:t>
      </w:r>
    </w:p>
    <w:p>
      <w:pPr>
        <w:pStyle w:val="ICESTNormal"/>
        <w:spacing w:line="240" w:lineRule="auto" w:after="0"/>
        <w:ind w:firstLine="283"/>
        <w:jc w:val="both"/>
      </w:pPr>
      <w:r>
        <w:rPr>
          <w:rFonts w:ascii="Times New Roman" w:hAnsi="Times New Roman" w:eastAsia="Times New Roman"/>
          <w:b w:val="0"/>
          <w:i w:val="0"/>
          <w:color w:val="000000"/>
          <w:sz w:val="22"/>
        </w:rPr>
        <w:t>A selected course must support at least one programme learning outcome. The final relationship is accepted through a two-threshold rule: strong model evidence can establish a new link, whereas sufficiently similar historical EPVO evidence can confirm it. Weak signals remain visible but do not satisfy the real-course coverage invariant. Protected SCES RK components receive dedicated system learning outcomes so that they appear in the OBE matrix without pretending to be professional EPVO evidence.</w:t>
      </w:r>
    </w:p>
    <w:p>
      <w:pPr>
        <w:spacing w:before="120" w:after="40"/>
        <w:ind w:firstLine="0"/>
        <w:jc w:val="left"/>
      </w:pPr>
      <w:r>
        <w:rPr>
          <w:rFonts w:ascii="Times New Roman" w:hAnsi="Times New Roman" w:eastAsia="Times New Roman"/>
          <w:b/>
          <w:i w:val="0"/>
          <w:color w:val="000000"/>
          <w:sz w:val="22"/>
        </w:rPr>
        <w:t>4.2. Exact Credits, Bridge Control, and Regulatory Closure</w:t>
      </w:r>
    </w:p>
    <w:p>
      <w:pPr>
        <w:pStyle w:val="ICESTNormal"/>
        <w:spacing w:line="240" w:lineRule="auto" w:after="0"/>
        <w:ind w:firstLine="283"/>
        <w:jc w:val="both"/>
      </w:pPr>
      <w:r>
        <w:rPr>
          <w:rFonts w:ascii="Times New Roman" w:hAnsi="Times New Roman" w:eastAsia="Times New Roman"/>
          <w:b w:val="0"/>
          <w:i w:val="0"/>
          <w:color w:val="000000"/>
          <w:sz w:val="22"/>
        </w:rPr>
        <w:t>Credit fitting treats a real course as an atomic unit. Its original credit value cannot be silently reduced or split to close a semester gap. After the protected SCES RK block is inserted, the remaining professional-credit target is solved as an exact-fit selection problem over admissible course credits. Dynamic programming retains the best evidence-bearing combination for every reachable credit sum and selects the exact remainder before considering a synthetic filler.</w:t>
      </w:r>
    </w:p>
    <w:p>
      <w:pPr>
        <w:pStyle w:val="ICESTNormal"/>
        <w:spacing w:line="240" w:lineRule="auto" w:after="0"/>
        <w:ind w:firstLine="283"/>
        <w:jc w:val="both"/>
      </w:pPr>
      <w:r>
        <w:rPr>
          <w:rFonts w:ascii="Times New Roman" w:hAnsi="Times New Roman" w:eastAsia="Times New Roman"/>
          <w:b w:val="0"/>
          <w:i w:val="0"/>
          <w:color w:val="000000"/>
          <w:sz w:val="22"/>
        </w:rPr>
        <w:t>Bridge modules have two legitimate roles: they may represent genuinely new content at the intersection of fields, or they may close a learning-outcome gap for which the repository has no sufficiently supported real course. A generic component placeholder is never treated as a discipline. The replacement service retrieves three real alternatives, exposes title, description, credits, level, AI evidence, EPVO evidence, and prerequisites, and stores the expert's selection for the next transactional generation.</w:t>
      </w:r>
    </w:p>
    <w:p>
      <w:pPr>
        <w:pStyle w:val="ICESTNormal"/>
        <w:spacing w:line="240" w:lineRule="auto" w:after="0"/>
        <w:ind w:firstLine="283"/>
        <w:jc w:val="both"/>
      </w:pPr>
      <w:r>
        <w:rPr>
          <w:rFonts w:ascii="Times New Roman" w:hAnsi="Times New Roman" w:eastAsia="Times New Roman"/>
          <w:b w:val="0"/>
          <w:i w:val="0"/>
          <w:color w:val="000000"/>
          <w:sz w:val="22"/>
        </w:rPr>
        <w:t>Regulatory closure is conditional on programme mode and level. International programmes do not receive Kazakhstan-specific mandatory courses. A programme created under SCES RK receives only the applicable bachelor's, master's, or doctoral components, including practice, research work, and final attestation with their prescribed credits. These elements are protected from suspicious-course replacement and from diversity mutations across A/B/C.</w:t>
      </w:r>
    </w:p>
    <w:p>
      <w:pPr>
        <w:spacing w:before="120" w:after="40"/>
        <w:ind w:firstLine="0"/>
        <w:jc w:val="left"/>
      </w:pPr>
      <w:r>
        <w:rPr>
          <w:rFonts w:ascii="Times New Roman" w:hAnsi="Times New Roman" w:eastAsia="Times New Roman"/>
          <w:b/>
          <w:i w:val="0"/>
          <w:color w:val="000000"/>
          <w:sz w:val="22"/>
        </w:rPr>
        <w:t>4.3. Knowledge Graph, Semester Repair, and A/B/C Transactions</w:t>
      </w:r>
    </w:p>
    <w:p>
      <w:pPr>
        <w:pStyle w:val="ICESTNormal"/>
        <w:spacing w:line="240" w:lineRule="auto" w:after="0"/>
        <w:ind w:firstLine="283"/>
        <w:jc w:val="both"/>
      </w:pPr>
      <w:r>
        <w:rPr>
          <w:rFonts w:ascii="Times New Roman" w:hAnsi="Times New Roman" w:eastAsia="Times New Roman"/>
          <w:b w:val="0"/>
          <w:i w:val="0"/>
          <w:color w:val="000000"/>
          <w:sz w:val="22"/>
        </w:rPr>
        <w:t>The curriculum graph contains course nodes, learning-outcome nodes, prerequisite edges, postrequisite relations, domain membership, and semester assignments. Explicit repository prerequisites are combined with conservative inferred edges based on foundation and advanced terminology. The graph is required to be acyclic after repair. For every edge c_a -&gt; c_b, the verifier requires semester(c_a) &lt; semester(c_b), except for separately classified concurrent regulatory activities.</w:t>
      </w:r>
    </w:p>
    <w:p>
      <w:pPr>
        <w:pStyle w:val="ICESTNormal"/>
        <w:spacing w:line="240" w:lineRule="auto" w:after="0"/>
        <w:ind w:firstLine="283"/>
        <w:jc w:val="both"/>
      </w:pPr>
      <w:r>
        <w:rPr>
          <w:rFonts w:ascii="Times New Roman" w:hAnsi="Times New Roman" w:eastAsia="Times New Roman"/>
          <w:b w:val="0"/>
          <w:i w:val="0"/>
          <w:color w:val="000000"/>
          <w:sz w:val="22"/>
        </w:rPr>
        <w:t>Semester repair uses bounded whole-course moves and swaps. It first addresses hard prerequisite or load violations, then improves pedagogical ordering and historical semester proximity. Moving a late advanced clinical, cybersecurity, research, or systems course into the first foundation term is prohibited by semantic floors. Introductory and foundation courses receive upper bounds so that one anomalous historical record cannot push them to the final year.</w:t>
      </w:r>
    </w:p>
    <w:p>
      <w:pPr>
        <w:pStyle w:val="ICESTNormal"/>
        <w:spacing w:line="240" w:lineRule="auto" w:after="0"/>
        <w:ind w:firstLine="283"/>
        <w:jc w:val="both"/>
      </w:pPr>
      <w:r>
        <w:rPr>
          <w:rFonts w:ascii="Times New Roman" w:hAnsi="Times New Roman" w:eastAsia="Times New Roman"/>
          <w:b w:val="0"/>
          <w:i w:val="0"/>
          <w:color w:val="000000"/>
          <w:sz w:val="22"/>
        </w:rPr>
        <w:t>Alternative generation varies ranking weights and candidate choices while preserving a common regulatory core. Pairwise fingerprints and Jaccard similarity ensure that A, B, and C are genuinely distinct. All requested alternatives are generated and verified before one atomic commit. This protects old active plans and makes a generation failure recoverable. Users can activate any successful alternative and retain the other versions for comparison.</w:t>
      </w:r>
    </w:p>
    <w:p>
      <w:pPr>
        <w:spacing w:before="120" w:after="40"/>
        <w:ind w:firstLine="0"/>
        <w:jc w:val="left"/>
      </w:pPr>
      <w:r>
        <w:rPr>
          <w:rFonts w:ascii="Times New Roman" w:hAnsi="Times New Roman" w:eastAsia="Times New Roman"/>
          <w:b/>
          <w:i w:val="0"/>
          <w:color w:val="000000"/>
          <w:sz w:val="22"/>
        </w:rPr>
        <w:t>4.4. Formal Objective and Independent Verifier</w:t>
      </w:r>
    </w:p>
    <w:p>
      <w:pPr>
        <w:pStyle w:val="ICESTNormal"/>
        <w:spacing w:line="240" w:lineRule="auto" w:after="0"/>
        <w:ind w:firstLine="283"/>
        <w:jc w:val="both"/>
      </w:pPr>
      <w:r>
        <w:rPr>
          <w:rFonts w:ascii="Times New Roman" w:hAnsi="Times New Roman" w:eastAsia="Times New Roman"/>
          <w:b w:val="0"/>
          <w:i w:val="0"/>
          <w:color w:val="000000"/>
          <w:sz w:val="22"/>
        </w:rPr>
        <w:t>Let x_i indicate inclusion of course c_i and z_is its assignment to semester s. The planner maximises a weighted objective containing probabilistic LO coverage, domain relevance, expert evidence, diversity, and historical-semester agreement. Penalties represent duplicate content, credit deviation, quota deficits, bridge count, and prerequisite complexity. The weights define variants A, B, and C but do not relax hard constraints.</w:t>
      </w:r>
    </w:p>
    <w:p>
      <w:pPr>
        <w:pStyle w:val="ICESTNormal"/>
        <w:spacing w:line="240" w:lineRule="auto" w:after="0"/>
        <w:ind w:firstLine="283"/>
        <w:jc w:val="both"/>
      </w:pPr>
      <w:r>
        <w:rPr>
          <w:rFonts w:ascii="Times New Roman" w:hAnsi="Times New Roman" w:eastAsia="Times New Roman"/>
          <w:b w:val="0"/>
          <w:i w:val="0"/>
          <w:color w:val="000000"/>
          <w:sz w:val="22"/>
        </w:rPr>
        <w:t>The main constraints require each selected course to appear in exactly one semester, the total credits to equal the programme target within the declared tolerance, each semester to remain within its load interval, and every prerequisite to precede its dependent course. Domain credits must meet project quotas, and each professional LO must have at least one admitted real course unless an explicitly reviewed bridge is retained. Education-level and SCES RK guards are Boolean admission constraints.</w:t>
      </w:r>
    </w:p>
    <w:p>
      <w:pPr>
        <w:pStyle w:val="ICESTNormal"/>
        <w:spacing w:line="240" w:lineRule="auto" w:after="0"/>
        <w:ind w:firstLine="283"/>
        <w:jc w:val="both"/>
      </w:pPr>
      <w:r>
        <w:rPr>
          <w:rFonts w:ascii="Times New Roman" w:hAnsi="Times New Roman" w:eastAsia="Times New Roman"/>
          <w:b w:val="0"/>
          <w:i w:val="0"/>
          <w:color w:val="000000"/>
          <w:sz w:val="22"/>
        </w:rPr>
        <w:t>The verifier recomputes these properties from the persisted plan. Feasibility V(P) equals one only when the credit, load, prerequisite, level, duplicate, domain, LO-evidence, and regulatory predicates all equal one. This independent calculation prevents an optimisation routine from declaring success using stale intermediate state. International-quality indicators are reported alongside V(P) but cannot override a failed hard predicate.</w:t>
      </w:r>
    </w:p>
    <w:p>
      <w:pPr>
        <w:pStyle w:val="ICESTNormal"/>
        <w:spacing w:line="240" w:lineRule="auto" w:after="0"/>
        <w:ind w:firstLine="283"/>
        <w:jc w:val="both"/>
      </w:pPr>
      <w:r>
        <w:rPr>
          <w:rFonts w:ascii="Times New Roman" w:hAnsi="Times New Roman" w:eastAsia="Times New Roman"/>
          <w:b w:val="0"/>
          <w:i w:val="0"/>
          <w:color w:val="000000"/>
          <w:sz w:val="22"/>
        </w:rPr>
        <w:t>Coverage is probabilistic rather than a simple course count. If several moderately supported courses address one outcome, their combined evidence increases while remaining bounded by one. This avoids reporting 300% coverage and prevents a single weak course from automatically producing a full score. The interface also shows the contributing courses so that an expert can inspect whether statistical aggregation matches academic judgement.</w:t>
      </w:r>
    </w:p>
    <w:p>
      <w:pPr>
        <w:spacing w:before="120" w:after="40"/>
        <w:ind w:firstLine="0"/>
        <w:jc w:val="left"/>
      </w:pPr>
      <w:r>
        <w:rPr>
          <w:rFonts w:ascii="Times New Roman" w:hAnsi="Times New Roman" w:eastAsia="Times New Roman"/>
          <w:b/>
          <w:i w:val="0"/>
          <w:color w:val="000000"/>
          <w:sz w:val="22"/>
        </w:rPr>
        <w:t>5. Experimental Design</w:t>
      </w:r>
    </w:p>
    <w:p>
      <w:pPr>
        <w:pStyle w:val="ICESTNormal"/>
        <w:spacing w:line="240" w:lineRule="auto" w:after="0"/>
        <w:ind w:firstLine="283"/>
        <w:jc w:val="both"/>
      </w:pPr>
      <w:r>
        <w:rPr>
          <w:rFonts w:ascii="Times New Roman" w:hAnsi="Times New Roman" w:eastAsia="Times New Roman"/>
          <w:b w:val="0"/>
          <w:i w:val="0"/>
          <w:color w:val="000000"/>
          <w:sz w:val="22"/>
        </w:rPr>
        <w:t>Evaluation separates pair classification, retrieval ranking, and complete-plan validity. ROC-AUC, PR-AUC, and F1 evaluate course-to-outcome classification. Recall@K measures the fraction of expert-relevant courses recovered in the first K positions, MRR rewards the position of the first relevant course, and nDCG@K evaluates the full graded ordering. At plan level, the verifier checks exact credits, semester load, prerequisites, education level, duplicate titles, domain quotas, real learning-outcome evidence, and protected regulatory components.</w:t>
      </w:r>
    </w:p>
    <w:p>
      <w:pPr>
        <w:pStyle w:val="ICESTNormal"/>
        <w:spacing w:line="240" w:lineRule="auto" w:after="0"/>
        <w:ind w:firstLine="283"/>
        <w:jc w:val="both"/>
      </w:pPr>
      <w:r>
        <w:rPr>
          <w:rFonts w:ascii="Times New Roman" w:hAnsi="Times New Roman" w:eastAsia="Times New Roman"/>
          <w:b w:val="0"/>
          <w:i w:val="0"/>
          <w:color w:val="000000"/>
          <w:sz w:val="22"/>
        </w:rPr>
        <w:t>The fresh cohort comparison uses six quality-eligible programmes: projects 13, 15, and 16 without SCES RK, and projects 19, 136, and 137 with protected SCES RK components. Project 135 is a predefined negative stress test and is excluded before aggregation. Cohorts are equal in size, all reported plans are freshly generated, and the same validator and tolerance of ±1 semester are used. This is a structural validation, not a blinded accreditation study.</w:t>
      </w:r>
    </w:p>
    <w:p>
      <w:pPr>
        <w:pStyle w:val="ICESTNormal"/>
        <w:spacing w:line="240" w:lineRule="auto" w:after="0"/>
        <w:ind w:firstLine="283"/>
        <w:jc w:val="both"/>
      </w:pPr>
      <w:r>
        <w:rPr>
          <w:rFonts w:ascii="Times New Roman" w:hAnsi="Times New Roman" w:eastAsia="Times New Roman"/>
          <w:b w:val="0"/>
          <w:i w:val="0"/>
          <w:color w:val="000000"/>
          <w:sz w:val="22"/>
        </w:rPr>
        <w:t>SCES RK is the State Compulsory Standard of Education of the Republic of Kazakhstan. Depending on education level, it introduces a protected core of mandatory general education, practice, research work, and final attestation. These components cannot be replaced merely to increase semantic similarity. Consequently, raw EPVO provenance and semester flexibility are expected to be lower in the regulated cohort; profile-only metrics must therefore be reported separately.</w:t>
      </w:r>
    </w:p>
    <w:p>
      <w:pPr>
        <w:pStyle w:val="ICESTNormal"/>
        <w:spacing w:before="60" w:after="60"/>
        <w:ind w:firstLine="0"/>
        <w:jc w:val="center"/>
      </w:pPr>
      <w:r>
        <w:rPr>
          <w:rFonts w:ascii="Cambria Math" w:hAnsi="Cambria Math" w:eastAsia="Cambria Math"/>
          <w:b w:val="0"/>
          <w:i/>
          <w:color w:val="000000"/>
          <w:sz w:val="20"/>
        </w:rPr>
        <w:t>Recall@K = |Rel(q) ∩ TopK(q)| / |Rel(q)|    (6)</w:t>
      </w:r>
    </w:p>
    <w:p>
      <w:pPr>
        <w:pStyle w:val="ICESTNormal"/>
        <w:spacing w:before="60" w:after="60"/>
        <w:ind w:firstLine="0"/>
        <w:jc w:val="center"/>
      </w:pPr>
      <w:r>
        <w:rPr>
          <w:rFonts w:ascii="Cambria Math" w:hAnsi="Cambria Math" w:eastAsia="Cambria Math"/>
          <w:b w:val="0"/>
          <w:i/>
          <w:color w:val="000000"/>
          <w:sz w:val="20"/>
        </w:rPr>
        <w:t>MRR = (1/|Q|) Σ_(q∈Q) 1/rank_q    (7)</w:t>
      </w:r>
    </w:p>
    <w:p>
      <w:pPr>
        <w:pStyle w:val="ICESTNormal"/>
        <w:spacing w:before="60" w:after="60"/>
        <w:ind w:firstLine="0"/>
        <w:jc w:val="center"/>
      </w:pPr>
      <w:r>
        <w:rPr>
          <w:rFonts w:ascii="Cambria Math" w:hAnsi="Cambria Math" w:eastAsia="Cambria Math"/>
          <w:b w:val="0"/>
          <w:i/>
          <w:color w:val="000000"/>
          <w:sz w:val="20"/>
        </w:rPr>
        <w:t>nDCG@K = DCG@K / IDCG@K    (8)</w:t>
      </w:r>
    </w:p>
    <w:p>
      <w:pPr>
        <w:spacing w:before="120" w:after="40"/>
        <w:ind w:firstLine="0"/>
        <w:jc w:val="left"/>
      </w:pPr>
      <w:r>
        <w:rPr>
          <w:rFonts w:ascii="Times New Roman" w:hAnsi="Times New Roman" w:eastAsia="Times New Roman"/>
          <w:b/>
          <w:i w:val="0"/>
          <w:color w:val="000000"/>
          <w:sz w:val="22"/>
        </w:rPr>
        <w:t>6. Results</w:t>
      </w:r>
    </w:p>
    <w:p>
      <w:pPr>
        <w:pStyle w:val="ICESTNormal"/>
        <w:spacing w:line="240" w:lineRule="auto" w:after="0"/>
        <w:ind w:firstLine="283"/>
        <w:jc w:val="both"/>
      </w:pPr>
      <w:r>
        <w:rPr>
          <w:rFonts w:ascii="Times New Roman" w:hAnsi="Times New Roman" w:eastAsia="Times New Roman"/>
          <w:b w:val="0"/>
          <w:i w:val="0"/>
          <w:color w:val="000000"/>
          <w:sz w:val="22"/>
        </w:rPr>
        <w:t>The base multilingual SBERT achieved ROC-AUC 0.7031, PR-AUC 0.6946, and F1 0.6886. Fine-tuning on 40,000 EPVO pairs improved these values to 0.7666, 0.7681, and 0.7188. A cached 12k candidate reached 0.7748, 0.7746, and 0.7268 but remains an experimental candidate rather than silently replacing the validated operational baseline. A separate ranking-loss model achieved Recall@10 0.7071, MRR 0.7815, and nDCG@10 0.6923 on its frozen benchmark.</w:t>
      </w:r>
    </w:p>
    <w:p>
      <w:pPr>
        <w:pStyle w:val="ICESTNormal"/>
        <w:spacing w:line="240" w:lineRule="auto" w:after="0"/>
        <w:ind w:firstLine="283"/>
        <w:jc w:val="both"/>
      </w:pPr>
      <w:r>
        <w:rPr>
          <w:rFonts w:ascii="Times New Roman" w:hAnsi="Times New Roman" w:eastAsia="Times New Roman"/>
          <w:b w:val="0"/>
          <w:i w:val="0"/>
          <w:color w:val="000000"/>
          <w:sz w:val="22"/>
        </w:rPr>
        <w:t>A second controlled retrieval experiment combined SBERT with global and programme-scoped expert memory. On its independent clean-v2 split, Recall@10 increased from 0.5348 to 0.5657, Recall@20 from 0.7476 to 0.7580, MRR from 0.2898 to 0.3740, and nDCG@10 from 0.3163 to 0.3735. The same result was preserved when the memory limit increased from 64 to 128 candidates, providing an initial robustness check. The production model was not changed by this experiment.</w:t>
      </w:r>
    </w:p>
    <w:p>
      <w:pPr>
        <w:pStyle w:val="ICESTNormal"/>
        <w:spacing w:line="240" w:lineRule="auto" w:after="0"/>
        <w:ind w:firstLine="283"/>
        <w:jc w:val="both"/>
      </w:pPr>
      <w:r>
        <w:rPr>
          <w:rFonts w:ascii="Times New Roman" w:hAnsi="Times New Roman" w:eastAsia="Times New Roman"/>
          <w:b w:val="0"/>
          <w:i w:val="0"/>
          <w:color w:val="000000"/>
          <w:sz w:val="22"/>
        </w:rPr>
        <w:t>The cohort comparison shows that plans without SCES RK achieved 86.84% semantic-adjusted semester alignment, whereas regulated plans achieved 81.23%. The 5.61 percentage-point difference is attributed to lower scheduling freedom: the regulated cohort contains 35 protected components across three plans. The raw semester gap is larger, 13.75 points, but falls to 5.61 points after prerequisite and pedagogical adjustments. Both cohorts achieved 100% profile provenance after excluding the regulatory block, a 100% international checklist score, and zero hard violations.</w:t>
      </w:r>
    </w:p>
    <w:p>
      <w:pPr>
        <w:pStyle w:val="ICESTNormal"/>
        <w:spacing w:line="240" w:lineRule="auto" w:after="0"/>
        <w:ind w:firstLine="283"/>
        <w:jc w:val="both"/>
      </w:pPr>
      <w:r>
        <w:rPr>
          <w:rFonts w:ascii="Times New Roman" w:hAnsi="Times New Roman" w:eastAsia="Times New Roman"/>
          <w:b w:val="0"/>
          <w:i w:val="0"/>
          <w:color w:val="000000"/>
          <w:sz w:val="22"/>
        </w:rPr>
        <w:t>Fresh aggregation across all six eligible programmes produced raw semester agreement of 76.82%, prerequisite-adjusted agreement of 80.42%, and semantic-adjusted agreement of 84.03%. The constrained feasibility indicator is retained as a separate diagnostic and does not replace these historical-agreement metrics. On control project 137 it reached 100%, meaning that every remaining disagreement could not be repaired by a direct move without violating the 27-33-credit envelope; it does not mean that every historical semester was reproduced exactly.</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949"/>
        <w:gridCol w:w="1949"/>
        <w:gridCol w:w="1949"/>
        <w:gridCol w:w="1949"/>
        <w:gridCol w:w="1949"/>
      </w:tblGrid>
      <w:tr>
        <w:trPr>
          <w:tblHeader w:val="true"/>
        </w:trPr>
        <w:tc>
          <w:tcPr>
            <w:tcW w:type="dxa" w:w="1949"/>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Model</w:t>
            </w:r>
          </w:p>
        </w:tc>
        <w:tc>
          <w:tcPr>
            <w:tcW w:type="dxa" w:w="1949"/>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ROC-AUC</w:t>
            </w:r>
          </w:p>
        </w:tc>
        <w:tc>
          <w:tcPr>
            <w:tcW w:type="dxa" w:w="1949"/>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PR-AUC</w:t>
            </w:r>
          </w:p>
        </w:tc>
        <w:tc>
          <w:tcPr>
            <w:tcW w:type="dxa" w:w="1949"/>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F1</w:t>
            </w:r>
          </w:p>
        </w:tc>
        <w:tc>
          <w:tcPr>
            <w:tcW w:type="dxa" w:w="1949"/>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Status</w:t>
            </w:r>
          </w:p>
        </w:tc>
      </w:tr>
      <w:tr>
        <w:tc>
          <w:tcPr>
            <w:tcW w:type="dxa" w:w="1949"/>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Base multilingual SBERT</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0.7031</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0.6946</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0.6886</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w:t>
            </w:r>
          </w:p>
        </w:tc>
      </w:tr>
      <w:tr>
        <w:tc>
          <w:tcPr>
            <w:tcW w:type="dxa" w:w="1949"/>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Fine-tuned SBERT 40k</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0.7666</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0.7681</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0.7188</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operational</w:t>
            </w:r>
          </w:p>
        </w:tc>
      </w:tr>
      <w:tr>
        <w:tc>
          <w:tcPr>
            <w:tcW w:type="dxa" w:w="1949"/>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Cached candidate 12k</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0.7748</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0.7746</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0.7268</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experimental</w:t>
            </w:r>
          </w:p>
        </w:tc>
      </w:tr>
    </w:tbl>
    <w:p>
      <w:pPr>
        <w:pStyle w:val="ICESTNormal"/>
        <w:ind w:firstLine="0"/>
        <w:jc w:val="center"/>
      </w:pPr>
      <w:r>
        <w:rPr>
          <w:rFonts w:ascii="Times New Roman" w:hAnsi="Times New Roman" w:eastAsia="Times New Roman"/>
          <w:b w:val="0"/>
          <w:i/>
          <w:color w:val="000000"/>
          <w:sz w:val="20"/>
        </w:rPr>
        <w:t>Table 2. Course-to-learning-outcome classification.</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37"/>
        <w:gridCol w:w="2437"/>
        <w:gridCol w:w="2437"/>
        <w:gridCol w:w="2437"/>
      </w:tblGrid>
      <w:tr>
        <w:trPr>
          <w:tblHeader w:val="true"/>
        </w:trPr>
        <w:tc>
          <w:tcPr>
            <w:tcW w:type="dxa" w:w="2437"/>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Metric</w:t>
            </w:r>
          </w:p>
        </w:tc>
        <w:tc>
          <w:tcPr>
            <w:tcW w:type="dxa" w:w="2437"/>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Without SCES RK</w:t>
            </w:r>
          </w:p>
        </w:tc>
        <w:tc>
          <w:tcPr>
            <w:tcW w:type="dxa" w:w="2437"/>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With SCES RK</w:t>
            </w:r>
          </w:p>
        </w:tc>
        <w:tc>
          <w:tcPr>
            <w:tcW w:type="dxa" w:w="2437"/>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Difference</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Programmes</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3</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3</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Raw EPVO provenance</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100.00%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61.36%</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+38.64 pp</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Profile provenance, regulatory block excluded</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100.00%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100.00%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0.00 pp</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Raw semester alignment, ±1</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83.70%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69.95%</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+13.75 pp</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Prerequisite-adjusted alignment</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85.15%</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75.70%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+9.45 pp</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Semantic-adjusted alignment</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86.84%</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81.23%</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+5.61 pp</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International checklist</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100.00%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100.00%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0.00 pp</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Hard violations</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w:t>
            </w:r>
          </w:p>
        </w:tc>
      </w:tr>
    </w:tbl>
    <w:p>
      <w:pPr>
        <w:pStyle w:val="ICESTNormal"/>
        <w:ind w:firstLine="0"/>
        <w:jc w:val="center"/>
      </w:pPr>
      <w:r>
        <w:rPr>
          <w:rFonts w:ascii="Times New Roman" w:hAnsi="Times New Roman" w:eastAsia="Times New Roman"/>
          <w:b w:val="0"/>
          <w:i/>
          <w:color w:val="000000"/>
          <w:sz w:val="20"/>
        </w:rPr>
        <w:t>Table 3. Cohort comparison of fresh quality-eligible plans with and without SCES RK.</w:t>
      </w:r>
    </w:p>
    <w:tbl>
      <w:tblPr>
        <w:tblW w:type="auto" w:w="0"/>
        <w:jc w:val="center"/>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747"/>
      </w:tblGrid>
      <w:tr>
        <w:tc>
          <w:tcPr>
            <w:tcW w:type="dxa" w:w="9747"/>
            <w:shd w:fill="F2F2F2"/>
            <w:tcMar>
              <w:top w:w="180" w:type="dxa"/>
              <w:start w:w="160" w:type="dxa"/>
              <w:bottom w:w="180" w:type="dxa"/>
              <w:end w:w="160" w:type="dxa"/>
            </w:tcMar>
          </w:tcPr>
          <w:p>
            <w:pPr>
              <w:jc w:val="center"/>
            </w:pPr>
            <w:r>
              <w:rPr>
                <w:rFonts w:ascii="Times New Roman" w:hAnsi="Times New Roman" w:eastAsia="Times New Roman"/>
                <w:b/>
                <w:i w:val="0"/>
                <w:color w:val="000000"/>
                <w:sz w:val="20"/>
              </w:rPr>
              <w:t>Figure 3 placeholder</w:t>
            </w:r>
          </w:p>
        </w:tc>
      </w:tr>
    </w:tbl>
    <w:p>
      <w:pPr>
        <w:pStyle w:val="ICESTNormal"/>
        <w:ind w:firstLine="0"/>
        <w:jc w:val="center"/>
      </w:pPr>
      <w:r>
        <w:rPr>
          <w:rFonts w:ascii="Times New Roman" w:hAnsi="Times New Roman" w:eastAsia="Times New Roman"/>
          <w:b w:val="0"/>
          <w:i/>
          <w:color w:val="000000"/>
          <w:sz w:val="20"/>
        </w:rPr>
        <w:t>Figure 3. Effect of the protected SCES RK core on semester alignment.</w:t>
      </w:r>
    </w:p>
    <w:p>
      <w:pPr>
        <w:pStyle w:val="ICESTNormal"/>
        <w:ind w:firstLine="0"/>
        <w:jc w:val="both"/>
      </w:pPr>
      <w:r>
        <w:rPr>
          <w:rFonts w:ascii="Times New Roman" w:hAnsi="Times New Roman" w:eastAsia="Times New Roman"/>
          <w:b/>
          <w:i w:val="0"/>
          <w:color w:val="000000"/>
          <w:sz w:val="16"/>
        </w:rPr>
        <w:t xml:space="preserve">Draft image-generation prompt: </w:t>
      </w:r>
      <w:r>
        <w:rPr>
          <w:rFonts w:ascii="Times New Roman" w:hAnsi="Times New Roman" w:eastAsia="Times New Roman"/>
          <w:b w:val="0"/>
          <w:i/>
          <w:color w:val="000000"/>
          <w:sz w:val="16"/>
        </w:rPr>
        <w:t>Create a Q2-journal comparison figure with two aligned curriculum lanes. Lane A: without SCES RK, semantic-adjusted semester alignment 86.84%, profile provenance 100%, hard violations 0. Lane B: with SCES RK, 35 protected regulatory components across three plans, semantic-adjusted alignment 81.23%, profile provenance after regulatory exclusion 100%, hard violations 0. Show 27-33 credit bands and forward prerequisite arrows. Explain that the 5.61-point gap reflects lower scheduling freedom, not lower profile-course quality. White background, restrained blue/green/amber, editable SVG.</w:t>
      </w:r>
    </w:p>
    <w:p>
      <w:pPr>
        <w:spacing w:before="120" w:after="40"/>
        <w:ind w:firstLine="0"/>
        <w:jc w:val="left"/>
      </w:pPr>
      <w:r>
        <w:rPr>
          <w:rFonts w:ascii="Times New Roman" w:hAnsi="Times New Roman" w:eastAsia="Times New Roman"/>
          <w:b/>
          <w:i w:val="0"/>
          <w:color w:val="000000"/>
          <w:sz w:val="22"/>
        </w:rPr>
        <w:t>6.1. End-to-End Control Programmes and Ablation Evidence</w:t>
      </w:r>
    </w:p>
    <w:p>
      <w:pPr>
        <w:pStyle w:val="ICESTNormal"/>
        <w:spacing w:line="240" w:lineRule="auto" w:after="0"/>
        <w:ind w:firstLine="283"/>
        <w:jc w:val="both"/>
      </w:pPr>
      <w:r>
        <w:rPr>
          <w:rFonts w:ascii="Times New Roman" w:hAnsi="Times New Roman" w:eastAsia="Times New Roman"/>
          <w:b w:val="0"/>
          <w:i w:val="0"/>
          <w:color w:val="000000"/>
          <w:sz w:val="22"/>
        </w:rPr>
        <w:t>Control programmes cover conventional and interdisciplinary bachelor's designs, a master's programme, and a doctoral programme. Fresh generation produced exact totals of 240, 120, and 180 credits at the corresponding levels. The stored plans passed prerequisite, level, duplicate, credit-integrity, foreign-context, and regulatory checks. The international checklist reported 100% for all six quality-eligible programmes, while the predefined negative control remained outside the cohort rather than being used to inflate the mean.</w:t>
      </w:r>
    </w:p>
    <w:p>
      <w:pPr>
        <w:pStyle w:val="ICESTNormal"/>
        <w:spacing w:line="240" w:lineRule="auto" w:after="0"/>
        <w:ind w:firstLine="283"/>
        <w:jc w:val="both"/>
      </w:pPr>
      <w:r>
        <w:rPr>
          <w:rFonts w:ascii="Times New Roman" w:hAnsi="Times New Roman" w:eastAsia="Times New Roman"/>
          <w:b w:val="0"/>
          <w:i w:val="0"/>
          <w:color w:val="000000"/>
          <w:sz w:val="22"/>
        </w:rPr>
        <w:t>Ablation observations identify which safeguards cause the improvement. In the Digital Forensics Investigator case, the education-level guard removed courses from inappropriate levels, final LO repair established real coverage for every professional outcome, and the contextual guard removed unrelated courses hidden behind generic digital terminology. In IT-medicine, the real-course-first residual rule selected an admissible EPVO course before a generic credit filler and eliminated unnecessary bridges.</w:t>
      </w:r>
    </w:p>
    <w:p>
      <w:pPr>
        <w:pStyle w:val="ICESTNormal"/>
        <w:spacing w:line="240" w:lineRule="auto" w:after="0"/>
        <w:ind w:firstLine="283"/>
        <w:jc w:val="both"/>
      </w:pPr>
      <w:r>
        <w:rPr>
          <w:rFonts w:ascii="Times New Roman" w:hAnsi="Times New Roman" w:eastAsia="Times New Roman"/>
          <w:b w:val="0"/>
          <w:i w:val="0"/>
          <w:color w:val="000000"/>
          <w:sz w:val="22"/>
        </w:rPr>
        <w:t>The D094 doctoral control demonstrates exact fitting after a large regulatory block. The planner retained the protected research, practice, and attestation components and selected an exact professional remainder from real courses. Earlier bridge-heavy variants were replaced by evidence-bearing EPVO courses while maintaining 180 total credits and zero hard violations. This case is important because raw provenance alone would understate quality: most credits are intentionally regulatory.</w:t>
      </w:r>
    </w:p>
    <w:p>
      <w:pPr>
        <w:pStyle w:val="ICESTNormal"/>
        <w:spacing w:line="240" w:lineRule="auto" w:after="0"/>
        <w:ind w:firstLine="283"/>
        <w:jc w:val="both"/>
      </w:pPr>
      <w:r>
        <w:rPr>
          <w:rFonts w:ascii="Times New Roman" w:hAnsi="Times New Roman" w:eastAsia="Times New Roman"/>
          <w:b w:val="0"/>
          <w:i w:val="0"/>
          <w:color w:val="000000"/>
          <w:sz w:val="22"/>
        </w:rPr>
        <w:t>The A/B/C mechanism was also tested for diversity. Alternatives share mandatory components but differ in professional composition and ranking priorities. Transactional fingerprints prevent accidental publication of identical variants. When only one plan is requested, the system avoids the cost of building unused alternatives; A/B/C can later be completed from the same frozen project constraints.</w:t>
      </w:r>
    </w:p>
    <w:p>
      <w:pPr>
        <w:spacing w:before="120" w:after="40"/>
        <w:ind w:firstLine="0"/>
        <w:jc w:val="left"/>
      </w:pPr>
      <w:r>
        <w:rPr>
          <w:rFonts w:ascii="Times New Roman" w:hAnsi="Times New Roman" w:eastAsia="Times New Roman"/>
          <w:b/>
          <w:i w:val="0"/>
          <w:color w:val="000000"/>
          <w:sz w:val="22"/>
        </w:rPr>
        <w:t>6.2. Efficiency, Failure Handling, and Explainability</w:t>
      </w:r>
    </w:p>
    <w:p>
      <w:pPr>
        <w:pStyle w:val="ICESTNormal"/>
        <w:spacing w:line="240" w:lineRule="auto" w:after="0"/>
        <w:ind w:firstLine="283"/>
        <w:jc w:val="both"/>
      </w:pPr>
      <w:r>
        <w:rPr>
          <w:rFonts w:ascii="Times New Roman" w:hAnsi="Times New Roman" w:eastAsia="Times New Roman"/>
          <w:b w:val="0"/>
          <w:i w:val="0"/>
          <w:color w:val="000000"/>
          <w:sz w:val="22"/>
        </w:rPr>
        <w:t>Repeated preprocessing was a major source of latency. Cache signatures now incorporate relevant data and configuration, so unchanged EPVO normalization and course-to-outcome scoring can be reused. In a controlled repeated build, the EPVO stage decreased from 28.45 to 0.15 seconds and the scoring stage from 175.38 to 0.16 seconds; full generation decreased from 320.5 to 138.3 seconds because the remaining time represented actual A/B/C synthesis and verification.</w:t>
      </w:r>
    </w:p>
    <w:p>
      <w:pPr>
        <w:pStyle w:val="ICESTNormal"/>
        <w:spacing w:line="240" w:lineRule="auto" w:after="0"/>
        <w:ind w:firstLine="283"/>
        <w:jc w:val="both"/>
      </w:pPr>
      <w:r>
        <w:rPr>
          <w:rFonts w:ascii="Times New Roman" w:hAnsi="Times New Roman" w:eastAsia="Times New Roman"/>
          <w:b w:val="0"/>
          <w:i w:val="0"/>
          <w:color w:val="000000"/>
          <w:sz w:val="22"/>
        </w:rPr>
        <w:t>External AI services are optional assistants for proposing programme goals, learning outcomes, achievability explanations, and bridge titles. Structured response contracts validate language, item count, score ranges, and domain relevance. Provider failure activates a deterministic fallback and never bypasses the curriculum verifier. Long operations expose progress rather than leaving the interface in an indefinite loading state.</w:t>
      </w:r>
    </w:p>
    <w:p>
      <w:pPr>
        <w:pStyle w:val="ICESTNormal"/>
        <w:spacing w:line="240" w:lineRule="auto" w:after="0"/>
        <w:ind w:firstLine="283"/>
        <w:jc w:val="both"/>
      </w:pPr>
      <w:r>
        <w:rPr>
          <w:rFonts w:ascii="Times New Roman" w:hAnsi="Times New Roman" w:eastAsia="Times New Roman"/>
          <w:b w:val="0"/>
          <w:i w:val="0"/>
          <w:color w:val="000000"/>
          <w:sz w:val="22"/>
        </w:rPr>
        <w:t>The explanation layer distinguishes final relationship strength, AI prediction, and EPVO evidence. A statement such as AI 76% and EPVO 21% means that two independent signals support the same course-LO pair; the numbers are not percentages of the programme and are not added. The interface also lists preceding and subsequent courses from the active plan, making the graph useful for curriculum review rather than merely decorative.</w:t>
      </w:r>
    </w:p>
    <w:p>
      <w:pPr>
        <w:spacing w:before="120" w:after="40"/>
        <w:ind w:firstLine="0"/>
        <w:jc w:val="left"/>
      </w:pPr>
      <w:r>
        <w:rPr>
          <w:rFonts w:ascii="Times New Roman" w:hAnsi="Times New Roman" w:eastAsia="Times New Roman"/>
          <w:b/>
          <w:i w:val="0"/>
          <w:color w:val="000000"/>
          <w:sz w:val="22"/>
        </w:rPr>
        <w:t>6.3. Registry Comparison and International Quality</w:t>
      </w:r>
    </w:p>
    <w:p>
      <w:pPr>
        <w:pStyle w:val="ICESTNormal"/>
        <w:spacing w:line="240" w:lineRule="auto" w:after="0"/>
        <w:ind w:firstLine="283"/>
        <w:jc w:val="both"/>
      </w:pPr>
      <w:r>
        <w:rPr>
          <w:rFonts w:ascii="Times New Roman" w:hAnsi="Times New Roman" w:eastAsia="Times New Roman"/>
          <w:b w:val="0"/>
          <w:i w:val="0"/>
          <w:color w:val="000000"/>
          <w:sz w:val="22"/>
        </w:rPr>
        <w:t>A generated interdisciplinary programme is not expected to copy one historical programme. For each EPVO reference programme, the system calculates shared courses, Jaccard overlap, generated-plan containment, and reference recall. Low overlap with any single source can coexist with high provenance when the new programme intentionally combines validated components from several directions. The comparison screen therefore displays several neighbours and missing or distinctive elements instead of presenting one analogue as ground truth.</w:t>
      </w:r>
    </w:p>
    <w:p>
      <w:pPr>
        <w:pStyle w:val="ICESTNormal"/>
        <w:spacing w:line="240" w:lineRule="auto" w:after="0"/>
        <w:ind w:firstLine="283"/>
        <w:jc w:val="both"/>
      </w:pPr>
      <w:r>
        <w:rPr>
          <w:rFonts w:ascii="Times New Roman" w:hAnsi="Times New Roman" w:eastAsia="Times New Roman"/>
          <w:b w:val="0"/>
          <w:i w:val="0"/>
          <w:color w:val="000000"/>
          <w:sz w:val="22"/>
        </w:rPr>
        <w:t>The international checklist operationalises OBE, ABET-style continuous improvement, CDIO integration, and Tuning competence principles. It checks outcome coverage, credit and semester consistency, prerequisite integrity, domain relevance, interdisciplinary integration, assessment-method availability, and evidence of expert participation. The score is diagnostic: every component remains expandable and actionable, and a 100% software checklist is not described as international accreditation.</w:t>
      </w:r>
    </w:p>
    <w:p>
      <w:pPr>
        <w:pStyle w:val="ICESTNormal"/>
        <w:spacing w:line="240" w:lineRule="auto" w:after="0"/>
        <w:ind w:firstLine="283"/>
        <w:jc w:val="both"/>
      </w:pPr>
      <w:r>
        <w:rPr>
          <w:rFonts w:ascii="Times New Roman" w:hAnsi="Times New Roman" w:eastAsia="Times New Roman"/>
          <w:b w:val="0"/>
          <w:i w:val="0"/>
          <w:color w:val="000000"/>
          <w:sz w:val="22"/>
        </w:rPr>
        <w:t>The cohort results illustrate this distinction. Both groups obtained a 100% checklist score because their plans passed the implemented criteria. The semantic semester values remained below 100% because historical agreement is a separate external comparison. Maintaining both results prevents the system from hiding a semester discrepancy behind a broad quality score and gives the programme team a concrete target for manual or algorithmic refinement.</w:t>
      </w:r>
    </w:p>
    <w:p>
      <w:pPr>
        <w:pStyle w:val="ICESTNormal"/>
        <w:spacing w:line="240" w:lineRule="auto" w:after="0"/>
        <w:ind w:firstLine="283"/>
        <w:jc w:val="both"/>
      </w:pPr>
      <w:r>
        <w:rPr>
          <w:rFonts w:ascii="Times New Roman" w:hAnsi="Times New Roman" w:eastAsia="Times New Roman"/>
          <w:b w:val="0"/>
          <w:i w:val="0"/>
          <w:color w:val="000000"/>
          <w:sz w:val="22"/>
        </w:rPr>
        <w:t>The knowledge graph provides an additional visual audit. For a selected alternative, nodes are arranged by semester, prerequisite edges are directed, and the interface explains what the student is expected to acquire after each term. Course cards list prerequisites and postrequisites from the active plan. A future empirical study can compare these generated progression statements with student assessment data.</w:t>
      </w:r>
    </w:p>
    <w:p>
      <w:pPr>
        <w:spacing w:before="120" w:after="40"/>
        <w:ind w:firstLine="0"/>
        <w:jc w:val="left"/>
      </w:pPr>
      <w:r>
        <w:rPr>
          <w:rFonts w:ascii="Times New Roman" w:hAnsi="Times New Roman" w:eastAsia="Times New Roman"/>
          <w:b/>
          <w:i w:val="0"/>
          <w:color w:val="000000"/>
          <w:sz w:val="22"/>
        </w:rPr>
        <w:t>7. Discussion</w:t>
      </w:r>
    </w:p>
    <w:p>
      <w:pPr>
        <w:pStyle w:val="ICESTNormal"/>
        <w:spacing w:line="240" w:lineRule="auto" w:after="0"/>
        <w:ind w:firstLine="283"/>
        <w:jc w:val="both"/>
      </w:pPr>
      <w:r>
        <w:rPr>
          <w:rFonts w:ascii="Times New Roman" w:hAnsi="Times New Roman" w:eastAsia="Times New Roman"/>
          <w:b w:val="0"/>
          <w:i w:val="0"/>
          <w:color w:val="000000"/>
          <w:sz w:val="22"/>
        </w:rPr>
        <w:t>The results show why regulatory and professional metrics must not be conflated. Raw provenance in the SCES RK cohort is 61.36% because protected practices, research work, and attestation are regulatory objects rather than ordinary EPVO courses. After excluding these expected objects, profile provenance is 100% in both cohorts. Reporting only the raw percentage would incorrectly portray statutory compliance as retrieval failure.</w:t>
      </w:r>
    </w:p>
    <w:p>
      <w:pPr>
        <w:pStyle w:val="ICESTNormal"/>
        <w:spacing w:line="240" w:lineRule="auto" w:after="0"/>
        <w:ind w:firstLine="283"/>
        <w:jc w:val="both"/>
      </w:pPr>
      <w:r>
        <w:rPr>
          <w:rFonts w:ascii="Times New Roman" w:hAnsi="Times New Roman" w:eastAsia="Times New Roman"/>
          <w:b w:val="0"/>
          <w:i w:val="0"/>
          <w:color w:val="000000"/>
          <w:sz w:val="22"/>
        </w:rPr>
        <w:t>The semester comparison has the same interpretation. Unregulated programmes can move courses more freely toward historical EPVO positions, so they exceed the regulated cohort. Nevertheless, the regulated plans remain feasible, have no hard violations, and preserve all profile-course provenance. Curriculum-KAG therefore provides a strong initial plan rather than a final legal or accreditation decision.</w:t>
      </w:r>
    </w:p>
    <w:p>
      <w:pPr>
        <w:pStyle w:val="ICESTNormal"/>
        <w:spacing w:line="240" w:lineRule="auto" w:after="0"/>
        <w:ind w:firstLine="283"/>
        <w:jc w:val="both"/>
      </w:pPr>
      <w:r>
        <w:rPr>
          <w:rFonts w:ascii="Times New Roman" w:hAnsi="Times New Roman" w:eastAsia="Times New Roman"/>
          <w:b w:val="0"/>
          <w:i w:val="0"/>
          <w:color w:val="000000"/>
          <w:sz w:val="22"/>
        </w:rPr>
        <w:t>In a preliminary expert demonstration, specialists from Abylkas Saginov Karaganda Technical University and the Academy of Public Administration under the President of the Republic of Kazakhstan assessed the resulting programmes positively, particularly their traceability, explainability, and protection of regulatory components. They recommended limited manual refinement of disputed links and syllabus-level details before formal approval. This assessment supports the human-in-the-loop design: automation prepares a coherent evidence package, while the academic expert retains authority.</w:t>
      </w:r>
    </w:p>
    <w:p>
      <w:pPr>
        <w:pStyle w:val="ICESTNormal"/>
        <w:spacing w:line="240" w:lineRule="auto" w:after="0"/>
        <w:ind w:firstLine="283"/>
        <w:jc w:val="both"/>
      </w:pPr>
      <w:r>
        <w:rPr>
          <w:rFonts w:ascii="Times New Roman" w:hAnsi="Times New Roman" w:eastAsia="Times New Roman"/>
          <w:b w:val="0"/>
          <w:i w:val="0"/>
          <w:color w:val="000000"/>
          <w:sz w:val="22"/>
        </w:rPr>
        <w:t>The practical value lies in reducing repetitive work. A programme team can define the field, education level, goals, and learning outcomes; obtain scoped course candidates; inspect why each course was selected; compare alternatives; review prerequisite and postrequisite chains; and correct uncertain links. Expert actions are stored as future learning data, enabling continuous improvement without hiding human responsibility.</w:t>
      </w:r>
    </w:p>
    <w:p>
      <w:pPr>
        <w:spacing w:before="120" w:after="40"/>
        <w:ind w:firstLine="0"/>
        <w:jc w:val="left"/>
      </w:pPr>
      <w:r>
        <w:rPr>
          <w:rFonts w:ascii="Times New Roman" w:hAnsi="Times New Roman" w:eastAsia="Times New Roman"/>
          <w:b/>
          <w:i w:val="0"/>
          <w:color w:val="000000"/>
          <w:sz w:val="22"/>
        </w:rPr>
        <w:t>8. System Implementation and Reproducibility</w:t>
      </w:r>
    </w:p>
    <w:p>
      <w:pPr>
        <w:pStyle w:val="ICESTNormal"/>
        <w:spacing w:line="240" w:lineRule="auto" w:after="0"/>
        <w:ind w:firstLine="283"/>
        <w:jc w:val="both"/>
      </w:pPr>
      <w:r>
        <w:rPr>
          <w:rFonts w:ascii="Times New Roman" w:hAnsi="Times New Roman" w:eastAsia="Times New Roman"/>
          <w:b w:val="0"/>
          <w:i w:val="0"/>
          <w:color w:val="000000"/>
          <w:sz w:val="22"/>
        </w:rPr>
        <w:t>The implemented system uses a FastAPI backend, a React interface, PostgreSQL as the primary transactional database, and pgvector for semantic indexing. Course, learning-outcome, prerequisite, expert-evidence, and plan-version entities are stored separately. This avoids embedding essential provenance in generated prose and permits the verifier to reproduce every decision directly from structured records. SQLite is retained only as a lightweight local fallback; experiments and the reported fresh generations use the PostgreSQL path.</w:t>
      </w:r>
    </w:p>
    <w:p>
      <w:pPr>
        <w:pStyle w:val="ICESTNormal"/>
        <w:spacing w:line="240" w:lineRule="auto" w:after="0"/>
        <w:ind w:firstLine="283"/>
        <w:jc w:val="both"/>
      </w:pPr>
      <w:r>
        <w:rPr>
          <w:rFonts w:ascii="Times New Roman" w:hAnsi="Times New Roman" w:eastAsia="Times New Roman"/>
          <w:b w:val="0"/>
          <w:i w:val="0"/>
          <w:color w:val="000000"/>
          <w:sz w:val="22"/>
        </w:rPr>
        <w:t>Generation is transactional. The planner constructs the requested alternative or the complete A/B/C set in memory, applies repair procedures, verifies each result, and commits only when the requested set satisfies the invariants. If a provider timeout, an impossible credit remainder, or a validation error occurs, the transaction is rolled back and the previous active plan remains unchanged. This property is important for academic information systems because a partial generation must never overwrite a previously approved curriculum.</w:t>
      </w:r>
    </w:p>
    <w:p>
      <w:pPr>
        <w:pStyle w:val="ICESTNormal"/>
        <w:spacing w:line="240" w:lineRule="auto" w:after="0"/>
        <w:ind w:firstLine="283"/>
        <w:jc w:val="both"/>
      </w:pPr>
      <w:r>
        <w:rPr>
          <w:rFonts w:ascii="Times New Roman" w:hAnsi="Times New Roman" w:eastAsia="Times New Roman"/>
          <w:b w:val="0"/>
          <w:i w:val="0"/>
          <w:color w:val="000000"/>
          <w:sz w:val="22"/>
        </w:rPr>
        <w:t>The planning process is divided into observable stages: scope selection, EPVO candidate retrieval, course-to-outcome scoring, regulatory closure, prerequisite closure, credit fitting, semester allocation, repair, and independent validation. The interface reports stage progress, prevents duplicate launches, and permits generation of either one plan or three alternatives. If one plan was initially requested, the remaining alternatives can be generated later without recreating the project definition.</w:t>
      </w:r>
    </w:p>
    <w:p>
      <w:pPr>
        <w:pStyle w:val="ICESTNormal"/>
        <w:spacing w:line="240" w:lineRule="auto" w:after="0"/>
        <w:ind w:firstLine="283"/>
        <w:jc w:val="both"/>
      </w:pPr>
      <w:r>
        <w:rPr>
          <w:rFonts w:ascii="Times New Roman" w:hAnsi="Times New Roman" w:eastAsia="Times New Roman"/>
          <w:b w:val="0"/>
          <w:i w:val="0"/>
          <w:color w:val="000000"/>
          <w:sz w:val="22"/>
        </w:rPr>
        <w:t>Course explanations expose the final relationship strength, the AI prediction, the transferred EPVO expert score, source direction and programme group, prerequisite role, and semester rationale. These numbers are not added as if they were parts of one percentage. They are separate evidence channels combined by an explicit policy. The expert may confirm a link, mark it as weak or incorrect, propose a correction, or exclude a course from the next regeneration. This feedback is versioned and can become supervised data in a later model cycle.</w:t>
      </w:r>
    </w:p>
    <w:p>
      <w:pPr>
        <w:pStyle w:val="ICESTNormal"/>
        <w:spacing w:line="240" w:lineRule="auto" w:after="0"/>
        <w:ind w:firstLine="283"/>
        <w:jc w:val="both"/>
      </w:pPr>
      <w:r>
        <w:rPr>
          <w:rFonts w:ascii="Times New Roman" w:hAnsi="Times New Roman" w:eastAsia="Times New Roman"/>
          <w:b w:val="0"/>
          <w:i w:val="0"/>
          <w:color w:val="000000"/>
          <w:sz w:val="22"/>
        </w:rPr>
        <w:t>The multilingual layer stores title and description records independently for Russian, Kazakh, and English, together with a source status. Verified source translations are distinguished from generated drafts requiring review. Interface labels, cycle names, errors, exports, and course explanations use the selected language with deterministic fallback. This design prevents a translated interface from silently displaying a course in a different language and preserves the origin of each text.</w:t>
      </w:r>
    </w:p>
    <w:p>
      <w:pPr>
        <w:pStyle w:val="ICESTNormal"/>
        <w:spacing w:line="240" w:lineRule="auto" w:after="0"/>
        <w:ind w:firstLine="283"/>
        <w:jc w:val="both"/>
      </w:pPr>
      <w:r>
        <w:rPr>
          <w:rFonts w:ascii="Times New Roman" w:hAnsi="Times New Roman" w:eastAsia="Times New Roman"/>
          <w:b w:val="0"/>
          <w:i w:val="0"/>
          <w:color w:val="000000"/>
          <w:sz w:val="22"/>
        </w:rPr>
        <w:t>Reproducibility artefacts include the frozen split, seed 42, dataset counts, model and configuration identifiers, metric JSON files, plan fingerprints, and automated regression tests. The current local suite covers semantic deduplication, education-level guards, regulatory protection, prerequisite order, credit tolerance, course uniqueness, multilingual integrity, and safe fallback when an external AI provider is unavailable. The same validator is called by the interface and by offline experiments, reducing divergence between a scientific benchmark and the operational application.</w:t>
      </w:r>
    </w:p>
    <w:p>
      <w:pPr>
        <w:spacing w:before="120" w:after="40"/>
        <w:ind w:firstLine="0"/>
        <w:jc w:val="left"/>
      </w:pPr>
      <w:r>
        <w:rPr>
          <w:rFonts w:ascii="Times New Roman" w:hAnsi="Times New Roman" w:eastAsia="Times New Roman"/>
          <w:b/>
          <w:i w:val="0"/>
          <w:color w:val="000000"/>
          <w:sz w:val="22"/>
        </w:rPr>
        <w:t>9. Validity and Academic Use</w:t>
      </w:r>
    </w:p>
    <w:p>
      <w:pPr>
        <w:pStyle w:val="ICESTNormal"/>
        <w:spacing w:line="240" w:lineRule="auto" w:after="0"/>
        <w:ind w:firstLine="283"/>
        <w:jc w:val="both"/>
      </w:pPr>
      <w:r>
        <w:rPr>
          <w:rFonts w:ascii="Times New Roman" w:hAnsi="Times New Roman" w:eastAsia="Times New Roman"/>
          <w:b w:val="0"/>
          <w:i w:val="0"/>
          <w:color w:val="000000"/>
          <w:sz w:val="22"/>
        </w:rPr>
        <w:t>Internal validation establishes software and structural validity: generated plans satisfy declared formal constraints, model experiments use programme-disjoint splits, and reported cohort metrics can be recomputed from saved artefacts. Content validity is supported by the longitudinal EPVO corpus and by the separation of AI prediction from historical expert evidence. Construct validity is strengthened by reporting classification, ranking, provenance, semester alignment, and whole-plan feasibility as different measurements rather than compressing them into one opaque score.</w:t>
      </w:r>
    </w:p>
    <w:p>
      <w:pPr>
        <w:pStyle w:val="ICESTNormal"/>
        <w:spacing w:line="240" w:lineRule="auto" w:after="0"/>
        <w:ind w:firstLine="283"/>
        <w:jc w:val="both"/>
      </w:pPr>
      <w:r>
        <w:rPr>
          <w:rFonts w:ascii="Times New Roman" w:hAnsi="Times New Roman" w:eastAsia="Times New Roman"/>
          <w:b w:val="0"/>
          <w:i w:val="0"/>
          <w:color w:val="000000"/>
          <w:sz w:val="22"/>
        </w:rPr>
        <w:t>The cohort result should be interpreted at its observed scale. Three regulated and three unregulated programmes are sufficient for a controlled engineering comparison but not for a population-level claim about every field in Kazakhstan. The study therefore reports programme identifiers, a predefined negative control, and the exact cohort rule. Future evaluation can add a temporal holdout, blind review with a common rubric, inter-rater agreement, discipline-level error analysis, and prospective measurement of learning outcomes after programme implementation.</w:t>
      </w:r>
    </w:p>
    <w:p>
      <w:pPr>
        <w:pStyle w:val="ICESTNormal"/>
        <w:spacing w:line="240" w:lineRule="auto" w:after="0"/>
        <w:ind w:firstLine="283"/>
        <w:jc w:val="both"/>
      </w:pPr>
      <w:r>
        <w:rPr>
          <w:rFonts w:ascii="Times New Roman" w:hAnsi="Times New Roman" w:eastAsia="Times New Roman"/>
          <w:b w:val="0"/>
          <w:i w:val="0"/>
          <w:color w:val="000000"/>
          <w:sz w:val="22"/>
        </w:rPr>
        <w:t>For practical deployment, the system acts as a co-designer. It can prepare an initial programme structure, reveal missing outcome coverage, identify inconsistent prerequisites, compare the design with programmes in the Registry, and produce an auditable evidence package. The responsible academic body still approves the programme goal, learning outcomes, course contents, assessment strategy, staff and infrastructure requirements, and compliance with the current legal edition of SCES RK.</w:t>
      </w:r>
    </w:p>
    <w:p>
      <w:pPr>
        <w:pStyle w:val="ICESTNormal"/>
        <w:spacing w:line="240" w:lineRule="auto" w:after="0"/>
        <w:ind w:firstLine="283"/>
        <w:jc w:val="both"/>
      </w:pPr>
      <w:r>
        <w:rPr>
          <w:rFonts w:ascii="Times New Roman" w:hAnsi="Times New Roman" w:eastAsia="Times New Roman"/>
          <w:b w:val="0"/>
          <w:i w:val="0"/>
          <w:color w:val="000000"/>
          <w:sz w:val="22"/>
        </w:rPr>
        <w:t>The distinction between a bridge module and a real EPVO course is preserved throughout the lifecycle. A bridge represents a justified curriculum hypothesis at the intersection of fields. It becomes an ordinary approved course only after an expert selects or edits its title, description, credits, outcomes, prerequisites, and assessment approach. This workflow allows genuinely new interdisciplinary content without presenting synthetic modules as historical registry evidence.</w:t>
      </w:r>
    </w:p>
    <w:p>
      <w:pPr>
        <w:pStyle w:val="ICESTNormal"/>
        <w:spacing w:line="240" w:lineRule="auto" w:after="0"/>
        <w:ind w:firstLine="283"/>
        <w:jc w:val="both"/>
      </w:pPr>
      <w:r>
        <w:rPr>
          <w:rFonts w:ascii="Times New Roman" w:hAnsi="Times New Roman" w:eastAsia="Times New Roman"/>
          <w:b w:val="0"/>
          <w:i w:val="0"/>
          <w:color w:val="000000"/>
          <w:sz w:val="22"/>
        </w:rPr>
        <w:t>The next research stage will optimise semester ranking directly under credit and prerequisite constraints. Candidate moves will be evaluated globally rather than as isolated swaps, while the raw historical metric remains unchanged for comparability. Retrieval experiments will test programme-dependent hard negatives and listwise expert-strength objectives. A new model will be promoted only if it improves Recall, MRR, and nDCG on an independent split and preserves whole-plan invariants on fresh generation.</w:t>
      </w:r>
    </w:p>
    <w:p>
      <w:pPr>
        <w:spacing w:before="120" w:after="40"/>
        <w:ind w:firstLine="0"/>
        <w:jc w:val="left"/>
      </w:pPr>
      <w:r>
        <w:rPr>
          <w:rFonts w:ascii="Times New Roman" w:hAnsi="Times New Roman" w:eastAsia="Times New Roman"/>
          <w:b/>
          <w:i w:val="0"/>
          <w:color w:val="000000"/>
          <w:sz w:val="22"/>
        </w:rPr>
        <w:t>9.1. Research Roadmap</w:t>
      </w:r>
    </w:p>
    <w:p>
      <w:pPr>
        <w:pStyle w:val="ICESTNormal"/>
        <w:spacing w:line="240" w:lineRule="auto" w:after="0"/>
        <w:ind w:firstLine="283"/>
        <w:jc w:val="both"/>
      </w:pPr>
      <w:r>
        <w:rPr>
          <w:rFonts w:ascii="Times New Roman" w:hAnsi="Times New Roman" w:eastAsia="Times New Roman"/>
          <w:b w:val="0"/>
          <w:i w:val="0"/>
          <w:color w:val="000000"/>
          <w:sz w:val="22"/>
        </w:rPr>
        <w:t>The first planned extension is a larger blind expert evaluation. Reviewers from several disciplinary groups will receive generated and reference fragments without knowing their origin and will score relevance, semester appropriateness, prerequisite coherence, and readiness for adoption. Inter-rater agreement and confidence intervals will complement the existing qualitative demonstration.</w:t>
      </w:r>
    </w:p>
    <w:p>
      <w:pPr>
        <w:pStyle w:val="ICESTNormal"/>
        <w:spacing w:line="240" w:lineRule="auto" w:after="0"/>
        <w:ind w:firstLine="283"/>
        <w:jc w:val="both"/>
      </w:pPr>
      <w:r>
        <w:rPr>
          <w:rFonts w:ascii="Times New Roman" w:hAnsi="Times New Roman" w:eastAsia="Times New Roman"/>
          <w:b w:val="0"/>
          <w:i w:val="0"/>
          <w:color w:val="000000"/>
          <w:sz w:val="22"/>
        </w:rPr>
        <w:t>The second extension is temporal validation. Programmes registered before a cut-off will form training memory, whereas later programmes will be held out. This will test whether the method predicts future academic choices rather than recalling contemporary duplicates. Direction-transfer experiments will measure performance in data-poor fields and determine when a bridge is preferable to a weak cross-domain match.</w:t>
      </w:r>
    </w:p>
    <w:p>
      <w:pPr>
        <w:pStyle w:val="ICESTNormal"/>
        <w:spacing w:line="240" w:lineRule="auto" w:after="0"/>
        <w:ind w:firstLine="283"/>
        <w:jc w:val="both"/>
      </w:pPr>
      <w:r>
        <w:rPr>
          <w:rFonts w:ascii="Times New Roman" w:hAnsi="Times New Roman" w:eastAsia="Times New Roman"/>
          <w:b w:val="0"/>
          <w:i w:val="0"/>
          <w:color w:val="000000"/>
          <w:sz w:val="22"/>
        </w:rPr>
        <w:t>The third extension is learning-to-rank with graded expert strength. Direct regression to 0, 0.5, and 1 did not improve retrieval in the pilot, so future work will use pairwise or listwise ordering within one programme. Hard negatives will be selected from the same level and nearby direction, making them semantically plausible but academically incorrect and therefore more informative than random negatives.</w:t>
      </w:r>
    </w:p>
    <w:p>
      <w:pPr>
        <w:pStyle w:val="ICESTNormal"/>
        <w:spacing w:line="240" w:lineRule="auto" w:after="0"/>
        <w:ind w:firstLine="283"/>
        <w:jc w:val="both"/>
      </w:pPr>
      <w:r>
        <w:rPr>
          <w:rFonts w:ascii="Times New Roman" w:hAnsi="Times New Roman" w:eastAsia="Times New Roman"/>
          <w:b w:val="0"/>
          <w:i w:val="0"/>
          <w:color w:val="000000"/>
          <w:sz w:val="22"/>
        </w:rPr>
        <w:t>Finally, the curriculum graph can support syllabus generation, weekly topic allocation, assessment mapping, and longitudinal programme monitoring. These functions should inherit the same provenance and verifier principles. A generated syllabus will be treated as a draft linked to credits and LOs, while measured student achievement and expert revisions will close the continuous-improvement loop.</w:t>
      </w:r>
    </w:p>
    <w:p>
      <w:pPr>
        <w:spacing w:before="120" w:after="40"/>
        <w:ind w:firstLine="0"/>
        <w:jc w:val="left"/>
      </w:pPr>
      <w:r>
        <w:rPr>
          <w:rFonts w:ascii="Times New Roman" w:hAnsi="Times New Roman" w:eastAsia="Times New Roman"/>
          <w:b/>
          <w:i w:val="0"/>
          <w:color w:val="000000"/>
          <w:sz w:val="22"/>
        </w:rPr>
        <w:t>10. Conclusion</w:t>
      </w:r>
    </w:p>
    <w:p>
      <w:pPr>
        <w:pStyle w:val="ICESTNormal"/>
        <w:spacing w:line="240" w:lineRule="auto" w:after="0"/>
        <w:ind w:firstLine="283"/>
        <w:jc w:val="both"/>
      </w:pPr>
      <w:r>
        <w:rPr>
          <w:rFonts w:ascii="Times New Roman" w:hAnsi="Times New Roman" w:eastAsia="Times New Roman"/>
          <w:b w:val="0"/>
          <w:i w:val="0"/>
          <w:color w:val="000000"/>
          <w:sz w:val="22"/>
        </w:rPr>
        <w:t>Curriculum-KAG demonstrates that national expert memory, multilingual semantic retrieval, graph constraints, and deterministic repair can be combined into a reproducible curriculum-synthesis workflow. The system produced feasible plans in both regulated and international modes, retained 100% profile provenance, and achieved zero hard violations in the reported cohorts. The measured 86.84% versus 81.23% semantic-adjusted semester alignment clarifies the effect of the protected SCES RK core. The remaining manual refinement is intentionally exposed through explanations and expert feedback rather than concealed by an aggregate score.</w:t>
      </w:r>
    </w:p>
    <w:p>
      <w:pPr>
        <w:spacing w:before="120" w:after="40"/>
        <w:ind w:firstLine="0"/>
        <w:jc w:val="left"/>
      </w:pPr>
      <w:r>
        <w:rPr>
          <w:rFonts w:ascii="Times New Roman" w:hAnsi="Times New Roman" w:eastAsia="Times New Roman"/>
          <w:b/>
          <w:i w:val="0"/>
          <w:color w:val="000000"/>
          <w:sz w:val="22"/>
        </w:rPr>
        <w:t>Acknowledgements</w:t>
      </w:r>
    </w:p>
    <w:p>
      <w:pPr>
        <w:pStyle w:val="ICESTNormal"/>
        <w:spacing w:line="240" w:lineRule="auto" w:after="0"/>
        <w:ind w:firstLine="283"/>
        <w:jc w:val="both"/>
      </w:pPr>
      <w:r>
        <w:rPr>
          <w:rFonts w:ascii="Times New Roman" w:hAnsi="Times New Roman" w:eastAsia="Times New Roman"/>
          <w:b w:val="0"/>
          <w:i w:val="0"/>
          <w:color w:val="000000"/>
          <w:sz w:val="22"/>
        </w:rPr>
        <w:t>The author thanks academic experts who provided qualitative feedback during system demonstrations. No external accreditation decision is claimed.</w:t>
      </w:r>
    </w:p>
    <w:p>
      <w:pPr>
        <w:spacing w:before="120" w:after="40"/>
        <w:ind w:firstLine="0"/>
        <w:jc w:val="left"/>
      </w:pPr>
      <w:r>
        <w:rPr>
          <w:rFonts w:ascii="Times New Roman" w:hAnsi="Times New Roman" w:eastAsia="Times New Roman"/>
          <w:b/>
          <w:i w:val="0"/>
          <w:color w:val="000000"/>
          <w:sz w:val="22"/>
        </w:rPr>
        <w:t>References</w:t>
      </w:r>
    </w:p>
    <w:p>
      <w:pPr>
        <w:pStyle w:val="Els-body-text"/>
        <w:ind w:firstLine="0" w:left="0"/>
        <w:jc w:val="both"/>
      </w:pPr>
      <w:r>
        <w:rPr>
          <w:rFonts w:ascii="Times New Roman" w:hAnsi="Times New Roman" w:eastAsia="Times New Roman"/>
          <w:b w:val="0"/>
          <w:i w:val="0"/>
          <w:color w:val="000000"/>
          <w:sz w:val="18"/>
        </w:rPr>
        <w:t>[1] Biggs, J. (1996). Enhancing teaching through constructive alignment. Higher Education, 32, 347-364.</w:t>
      </w:r>
    </w:p>
    <w:p>
      <w:pPr>
        <w:pStyle w:val="Els-body-text"/>
        <w:ind w:firstLine="0" w:left="0"/>
        <w:jc w:val="both"/>
      </w:pPr>
      <w:r>
        <w:rPr>
          <w:rFonts w:ascii="Times New Roman" w:hAnsi="Times New Roman" w:eastAsia="Times New Roman"/>
          <w:b w:val="0"/>
          <w:i w:val="0"/>
          <w:color w:val="000000"/>
          <w:sz w:val="18"/>
        </w:rPr>
        <w:t>[2] Harden, R. M. (2007). Outcome-based education: the future is today. Medical Teacher, 29(7), 625-629.</w:t>
      </w:r>
    </w:p>
    <w:p>
      <w:pPr>
        <w:pStyle w:val="Els-body-text"/>
        <w:ind w:firstLine="0" w:left="0"/>
        <w:jc w:val="both"/>
      </w:pPr>
      <w:r>
        <w:rPr>
          <w:rFonts w:ascii="Times New Roman" w:hAnsi="Times New Roman" w:eastAsia="Times New Roman"/>
          <w:b w:val="0"/>
          <w:i w:val="0"/>
          <w:color w:val="000000"/>
          <w:sz w:val="18"/>
        </w:rPr>
        <w:t>[3] Reimers, N., &amp; Gurevych, I. (2019). Sentence-BERT: Sentence embeddings using Siamese BERT-networks. EMNLP-IJCNLP, 3982-3992.</w:t>
      </w:r>
    </w:p>
    <w:p>
      <w:pPr>
        <w:pStyle w:val="Els-body-text"/>
        <w:ind w:firstLine="0" w:left="0"/>
        <w:jc w:val="both"/>
      </w:pPr>
      <w:r>
        <w:rPr>
          <w:rFonts w:ascii="Times New Roman" w:hAnsi="Times New Roman" w:eastAsia="Times New Roman"/>
          <w:b w:val="0"/>
          <w:i w:val="0"/>
          <w:color w:val="000000"/>
          <w:sz w:val="18"/>
        </w:rPr>
        <w:t>[4] Robertson, S., &amp; Zaragoza, H. (2009). The probabilistic relevance framework: BM25 and beyond. Foundations and Trends in Information Retrieval, 3(4), 333-389.</w:t>
      </w:r>
    </w:p>
    <w:p>
      <w:pPr>
        <w:pStyle w:val="Els-body-text"/>
        <w:ind w:firstLine="0" w:left="0"/>
        <w:jc w:val="both"/>
      </w:pPr>
      <w:r>
        <w:rPr>
          <w:rFonts w:ascii="Times New Roman" w:hAnsi="Times New Roman" w:eastAsia="Times New Roman"/>
          <w:b w:val="0"/>
          <w:i w:val="0"/>
          <w:color w:val="000000"/>
          <w:sz w:val="18"/>
        </w:rPr>
        <w:t>[5] Lewis, P., et al. (2020). Retrieval-augmented generation for knowledge-intensive NLP tasks. Advances in Neural Information Processing Systems, 33, 9459-9474.</w:t>
      </w:r>
    </w:p>
    <w:p>
      <w:pPr>
        <w:pStyle w:val="Els-body-text"/>
        <w:ind w:firstLine="0" w:left="0"/>
        <w:jc w:val="both"/>
      </w:pPr>
      <w:r>
        <w:rPr>
          <w:rFonts w:ascii="Times New Roman" w:hAnsi="Times New Roman" w:eastAsia="Times New Roman"/>
          <w:b w:val="0"/>
          <w:i w:val="0"/>
          <w:color w:val="000000"/>
          <w:sz w:val="18"/>
        </w:rPr>
        <w:t>[6] Deb, K., Pratap, A., Agarwal, S., &amp; Meyarivan, T. (2002). A fast and elitist multiobjective genetic algorithm: NSGA-II. IEEE Transactions on Evolutionary Computation, 6(2), 182-197.</w:t>
      </w:r>
    </w:p>
    <w:p>
      <w:pPr>
        <w:pStyle w:val="Els-body-text"/>
        <w:ind w:firstLine="0" w:left="0"/>
        <w:jc w:val="both"/>
      </w:pPr>
      <w:r>
        <w:rPr>
          <w:rFonts w:ascii="Times New Roman" w:hAnsi="Times New Roman" w:eastAsia="Times New Roman"/>
          <w:b w:val="0"/>
          <w:i w:val="0"/>
          <w:color w:val="000000"/>
          <w:sz w:val="18"/>
        </w:rPr>
        <w:t>[7] Kipf, T. N., &amp; Welling, M. (2017). Semi-supervised classification with graph convolutional networks. ICLR.</w:t>
      </w:r>
    </w:p>
    <w:p>
      <w:pPr>
        <w:pStyle w:val="Els-body-text"/>
        <w:ind w:firstLine="0" w:left="0"/>
        <w:jc w:val="both"/>
      </w:pPr>
      <w:r>
        <w:rPr>
          <w:rFonts w:ascii="Times New Roman" w:hAnsi="Times New Roman" w:eastAsia="Times New Roman"/>
          <w:b w:val="0"/>
          <w:i w:val="0"/>
          <w:color w:val="000000"/>
          <w:sz w:val="18"/>
        </w:rPr>
        <w:t>[8] Hamilton, W. L., Ying, R., &amp; Leskovec, J. (2017). Inductive representation learning on large graphs. NeurIPS, 1024-1034.</w:t>
      </w:r>
    </w:p>
    <w:p>
      <w:pPr>
        <w:pStyle w:val="Els-body-text"/>
        <w:ind w:firstLine="0" w:left="0"/>
        <w:jc w:val="both"/>
      </w:pPr>
      <w:r>
        <w:rPr>
          <w:rFonts w:ascii="Times New Roman" w:hAnsi="Times New Roman" w:eastAsia="Times New Roman"/>
          <w:b w:val="0"/>
          <w:i w:val="0"/>
          <w:color w:val="000000"/>
          <w:sz w:val="18"/>
        </w:rPr>
        <w:t>[9] Hochreiter, S., &amp; Schmidhuber, J. (1997). Long short-term memory. Neural Computation, 9(8), 1735-1780.</w:t>
      </w:r>
    </w:p>
    <w:p>
      <w:pPr>
        <w:pStyle w:val="Els-body-text"/>
        <w:ind w:firstLine="0" w:left="0"/>
        <w:jc w:val="both"/>
      </w:pPr>
      <w:r>
        <w:rPr>
          <w:rFonts w:ascii="Times New Roman" w:hAnsi="Times New Roman" w:eastAsia="Times New Roman"/>
          <w:b w:val="0"/>
          <w:i w:val="0"/>
          <w:color w:val="000000"/>
          <w:sz w:val="18"/>
        </w:rPr>
        <w:t>[10] Gebru, T., et al. (2021). Datasheets for datasets. Communications of the ACM, 64(12), 86-92.</w:t>
      </w:r>
    </w:p>
    <w:p>
      <w:pPr>
        <w:pStyle w:val="Els-body-text"/>
        <w:ind w:firstLine="0" w:left="0"/>
        <w:jc w:val="both"/>
      </w:pPr>
      <w:r>
        <w:rPr>
          <w:rFonts w:ascii="Times New Roman" w:hAnsi="Times New Roman" w:eastAsia="Times New Roman"/>
          <w:b w:val="0"/>
          <w:i w:val="0"/>
          <w:color w:val="000000"/>
          <w:sz w:val="18"/>
        </w:rPr>
        <w:t>[11] Mitchell, M., et al. (2019). Model cards for model reporting. FAT* 2019, 220-229.</w:t>
      </w:r>
    </w:p>
    <w:p>
      <w:pPr>
        <w:pStyle w:val="Els-body-text"/>
        <w:ind w:firstLine="0" w:left="0"/>
        <w:jc w:val="both"/>
      </w:pPr>
      <w:r>
        <w:rPr>
          <w:rFonts w:ascii="Times New Roman" w:hAnsi="Times New Roman" w:eastAsia="Times New Roman"/>
          <w:b w:val="0"/>
          <w:i w:val="0"/>
          <w:color w:val="000000"/>
          <w:sz w:val="18"/>
        </w:rPr>
        <w:t>[12] Unified Higher Education Platform of the Republic of Kazakhstan. Registry of Educational Programs. https://epvo.kz/#/register/education_program</w:t>
      </w:r>
    </w:p>
    <w:p>
      <w:pPr>
        <w:pStyle w:val="Els-body-text"/>
        <w:ind w:firstLine="0" w:left="0"/>
        <w:jc w:val="both"/>
      </w:pPr>
      <w:r>
        <w:rPr>
          <w:rFonts w:ascii="Times New Roman" w:hAnsi="Times New Roman" w:eastAsia="Times New Roman"/>
          <w:b w:val="0"/>
          <w:i w:val="0"/>
          <w:color w:val="000000"/>
          <w:sz w:val="18"/>
        </w:rPr>
        <w:t>[13] Ministry of Science and Higher Education of the Republic of Kazakhstan. State Compulsory Standards of Higher and Postgraduate Education, revision dated May 4, 2026.</w:t>
      </w:r>
    </w:p>
    <w:p>
      <w:pPr>
        <w:pStyle w:val="Els-body-text"/>
        <w:ind w:firstLine="0" w:left="0"/>
        <w:jc w:val="both"/>
      </w:pPr>
      <w:r>
        <w:rPr>
          <w:rFonts w:ascii="Times New Roman" w:hAnsi="Times New Roman" w:eastAsia="Times New Roman"/>
          <w:b w:val="0"/>
          <w:i w:val="0"/>
          <w:color w:val="000000"/>
          <w:sz w:val="18"/>
        </w:rPr>
        <w:t>[14] ABET. (2025). Criteria for Accrediting Computing Programs.</w:t>
      </w:r>
    </w:p>
    <w:p>
      <w:pPr>
        <w:pStyle w:val="Els-body-text"/>
        <w:ind w:firstLine="0" w:left="0"/>
        <w:jc w:val="both"/>
      </w:pPr>
      <w:r>
        <w:rPr>
          <w:rFonts w:ascii="Times New Roman" w:hAnsi="Times New Roman" w:eastAsia="Times New Roman"/>
          <w:b w:val="0"/>
          <w:i w:val="0"/>
          <w:color w:val="000000"/>
          <w:sz w:val="18"/>
        </w:rPr>
        <w:t>[15] Crawley, E. F., Malmqvist, J., Östlund, S., Brodeur, D. R., &amp; Edström, K. (2014). Rethinking Engineering Education: The CDIO Approach. Springer.</w:t>
      </w:r>
    </w:p>
    <w:p>
      <w:pPr>
        <w:pStyle w:val="Els-body-text"/>
        <w:ind w:firstLine="0" w:left="0"/>
        <w:jc w:val="both"/>
      </w:pPr>
      <w:r>
        <w:rPr>
          <w:rFonts w:ascii="Times New Roman" w:hAnsi="Times New Roman" w:eastAsia="Times New Roman"/>
          <w:b w:val="0"/>
          <w:i w:val="0"/>
          <w:color w:val="000000"/>
          <w:sz w:val="18"/>
        </w:rPr>
        <w:t>[16] González, J., &amp; Wagenaar, R. (Eds.). (2003). Tuning Educational Structures in Europe. University of Deusto.</w:t>
      </w:r>
    </w:p>
    <w:sectPr w:rsidR="00286E77" w:rsidRPr="00286E77" w:rsidSect="00B85B29">
      <w:type w:val="continuous"/>
      <w:pgSz w:w="11907" w:h="16839" w:code="9"/>
      <w:pgMar w:top="1138" w:right="1022" w:bottom="1138" w:left="1138" w:header="720" w:footer="72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087CE" w14:textId="77777777" w:rsidR="00897A5E" w:rsidRDefault="00897A5E" w:rsidP="00110ACC">
      <w:pPr>
        <w:spacing w:after="0" w:line="240" w:lineRule="auto"/>
      </w:pPr>
      <w:r>
        <w:separator/>
      </w:r>
    </w:p>
  </w:endnote>
  <w:endnote w:type="continuationSeparator" w:id="0">
    <w:p w14:paraId="243AE129" w14:textId="77777777" w:rsidR="00897A5E" w:rsidRDefault="00897A5E" w:rsidP="00110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996BB" w14:textId="77777777" w:rsidR="00897A5E" w:rsidRDefault="00897A5E" w:rsidP="00110ACC">
      <w:pPr>
        <w:spacing w:after="0" w:line="240" w:lineRule="auto"/>
      </w:pPr>
      <w:r>
        <w:separator/>
      </w:r>
    </w:p>
  </w:footnote>
  <w:footnote w:type="continuationSeparator" w:id="0">
    <w:p w14:paraId="315FED83" w14:textId="77777777" w:rsidR="00897A5E" w:rsidRDefault="00897A5E" w:rsidP="00110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5185"/>
    <w:multiLevelType w:val="hybridMultilevel"/>
    <w:tmpl w:val="B05C6C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067978"/>
    <w:multiLevelType w:val="hybridMultilevel"/>
    <w:tmpl w:val="4CF8346E"/>
    <w:lvl w:ilvl="0" w:tplc="618EF2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0975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A9486B"/>
    <w:multiLevelType w:val="hybridMultilevel"/>
    <w:tmpl w:val="795E9E04"/>
    <w:lvl w:ilvl="0" w:tplc="CEAC30E8">
      <w:start w:val="3"/>
      <w:numFmt w:val="decimal"/>
      <w:pStyle w:val="ICESTRefertext"/>
      <w:lvlText w:val="[%1]"/>
      <w:lvlJc w:val="left"/>
      <w:pPr>
        <w:tabs>
          <w:tab w:val="num" w:pos="720"/>
        </w:tabs>
        <w:ind w:left="357" w:hanging="357"/>
      </w:pPr>
      <w:rPr>
        <w:rFonts w:ascii="Times New Roman" w:hAnsi="Times New Roman" w:cs="Times New Roman" w:hint="default"/>
        <w:b w:val="0"/>
        <w:i w:val="0"/>
        <w:sz w:val="22"/>
        <w:szCs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84C7551"/>
    <w:multiLevelType w:val="multilevel"/>
    <w:tmpl w:val="D1B4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08938">
    <w:abstractNumId w:val="0"/>
  </w:num>
  <w:num w:numId="2" w16cid:durableId="1354724175">
    <w:abstractNumId w:val="3"/>
  </w:num>
  <w:num w:numId="3" w16cid:durableId="116487647">
    <w:abstractNumId w:val="1"/>
  </w:num>
  <w:num w:numId="4" w16cid:durableId="1983119471">
    <w:abstractNumId w:val="2"/>
  </w:num>
  <w:num w:numId="5" w16cid:durableId="1552572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0ACC"/>
    <w:rsid w:val="0001514D"/>
    <w:rsid w:val="00027124"/>
    <w:rsid w:val="00046F08"/>
    <w:rsid w:val="00052093"/>
    <w:rsid w:val="00052D56"/>
    <w:rsid w:val="000544D5"/>
    <w:rsid w:val="00087827"/>
    <w:rsid w:val="0009060C"/>
    <w:rsid w:val="000A481E"/>
    <w:rsid w:val="000C15F1"/>
    <w:rsid w:val="000C1CE4"/>
    <w:rsid w:val="000C6B51"/>
    <w:rsid w:val="000D02CA"/>
    <w:rsid w:val="000E1E65"/>
    <w:rsid w:val="000F67A6"/>
    <w:rsid w:val="00110ACC"/>
    <w:rsid w:val="00147DDB"/>
    <w:rsid w:val="00183177"/>
    <w:rsid w:val="00194C87"/>
    <w:rsid w:val="0019766B"/>
    <w:rsid w:val="001A0310"/>
    <w:rsid w:val="001C5A51"/>
    <w:rsid w:val="001D0063"/>
    <w:rsid w:val="001E6EE1"/>
    <w:rsid w:val="001F4410"/>
    <w:rsid w:val="001F5558"/>
    <w:rsid w:val="00200146"/>
    <w:rsid w:val="0020025E"/>
    <w:rsid w:val="002266EA"/>
    <w:rsid w:val="00271490"/>
    <w:rsid w:val="00273A90"/>
    <w:rsid w:val="00286E77"/>
    <w:rsid w:val="00297F8C"/>
    <w:rsid w:val="002A4059"/>
    <w:rsid w:val="002B27AE"/>
    <w:rsid w:val="002C7B00"/>
    <w:rsid w:val="00307B08"/>
    <w:rsid w:val="00335435"/>
    <w:rsid w:val="00345E98"/>
    <w:rsid w:val="003A6D8E"/>
    <w:rsid w:val="003C5116"/>
    <w:rsid w:val="003E1ABD"/>
    <w:rsid w:val="003F0B9D"/>
    <w:rsid w:val="004021DB"/>
    <w:rsid w:val="00483A17"/>
    <w:rsid w:val="004909B9"/>
    <w:rsid w:val="004B3FCC"/>
    <w:rsid w:val="004B6EBE"/>
    <w:rsid w:val="004C0BB9"/>
    <w:rsid w:val="00511EA0"/>
    <w:rsid w:val="005330CD"/>
    <w:rsid w:val="00572761"/>
    <w:rsid w:val="005B272D"/>
    <w:rsid w:val="005D303D"/>
    <w:rsid w:val="005F73BF"/>
    <w:rsid w:val="0060181E"/>
    <w:rsid w:val="006065D1"/>
    <w:rsid w:val="006241AF"/>
    <w:rsid w:val="006433B8"/>
    <w:rsid w:val="0065347C"/>
    <w:rsid w:val="00654F3B"/>
    <w:rsid w:val="006557D0"/>
    <w:rsid w:val="0065752C"/>
    <w:rsid w:val="006663C8"/>
    <w:rsid w:val="00691FB8"/>
    <w:rsid w:val="006F4973"/>
    <w:rsid w:val="00700244"/>
    <w:rsid w:val="0070188A"/>
    <w:rsid w:val="00704F9A"/>
    <w:rsid w:val="007223F2"/>
    <w:rsid w:val="00730D9E"/>
    <w:rsid w:val="007D35E5"/>
    <w:rsid w:val="007D5851"/>
    <w:rsid w:val="007E0199"/>
    <w:rsid w:val="007F1E2F"/>
    <w:rsid w:val="007F3140"/>
    <w:rsid w:val="00805CB8"/>
    <w:rsid w:val="00845314"/>
    <w:rsid w:val="00890BA4"/>
    <w:rsid w:val="00891F32"/>
    <w:rsid w:val="00895290"/>
    <w:rsid w:val="00897A5E"/>
    <w:rsid w:val="008A0056"/>
    <w:rsid w:val="008C4273"/>
    <w:rsid w:val="008E38E5"/>
    <w:rsid w:val="008E5940"/>
    <w:rsid w:val="008F7AE4"/>
    <w:rsid w:val="00920C71"/>
    <w:rsid w:val="009453D5"/>
    <w:rsid w:val="009503D0"/>
    <w:rsid w:val="00973441"/>
    <w:rsid w:val="0099751F"/>
    <w:rsid w:val="00A016A2"/>
    <w:rsid w:val="00A1732B"/>
    <w:rsid w:val="00A17D31"/>
    <w:rsid w:val="00A324D1"/>
    <w:rsid w:val="00A47999"/>
    <w:rsid w:val="00AA4529"/>
    <w:rsid w:val="00AF6B63"/>
    <w:rsid w:val="00B60C56"/>
    <w:rsid w:val="00B76FF5"/>
    <w:rsid w:val="00B80BDB"/>
    <w:rsid w:val="00B85B29"/>
    <w:rsid w:val="00BA085E"/>
    <w:rsid w:val="00BB6337"/>
    <w:rsid w:val="00BC0532"/>
    <w:rsid w:val="00BD0A6C"/>
    <w:rsid w:val="00C245C5"/>
    <w:rsid w:val="00C54E60"/>
    <w:rsid w:val="00C55984"/>
    <w:rsid w:val="00C772A3"/>
    <w:rsid w:val="00C86DED"/>
    <w:rsid w:val="00CB19C3"/>
    <w:rsid w:val="00CB76D6"/>
    <w:rsid w:val="00CC3222"/>
    <w:rsid w:val="00CD3112"/>
    <w:rsid w:val="00CD3561"/>
    <w:rsid w:val="00CE6907"/>
    <w:rsid w:val="00D01CAF"/>
    <w:rsid w:val="00D05E5C"/>
    <w:rsid w:val="00D129B8"/>
    <w:rsid w:val="00D17634"/>
    <w:rsid w:val="00D46066"/>
    <w:rsid w:val="00D75918"/>
    <w:rsid w:val="00D81CEF"/>
    <w:rsid w:val="00DA6BF1"/>
    <w:rsid w:val="00DC19B1"/>
    <w:rsid w:val="00DD2463"/>
    <w:rsid w:val="00E271DA"/>
    <w:rsid w:val="00E56D29"/>
    <w:rsid w:val="00E77F89"/>
    <w:rsid w:val="00E842C2"/>
    <w:rsid w:val="00E9212A"/>
    <w:rsid w:val="00EA77A9"/>
    <w:rsid w:val="00EE6EFF"/>
    <w:rsid w:val="00EE7E12"/>
    <w:rsid w:val="00EF2C52"/>
    <w:rsid w:val="00F142D6"/>
    <w:rsid w:val="00F7207B"/>
    <w:rsid w:val="00F76F7B"/>
    <w:rsid w:val="00F8762D"/>
    <w:rsid w:val="00F87D13"/>
    <w:rsid w:val="00F9211E"/>
    <w:rsid w:val="00F936C8"/>
    <w:rsid w:val="00F95C67"/>
    <w:rsid w:val="00FB2994"/>
    <w:rsid w:val="00FB2FFA"/>
    <w:rsid w:val="00FB538F"/>
    <w:rsid w:val="00FC1785"/>
    <w:rsid w:val="00FE1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B8237"/>
  <w15:docId w15:val="{0903D7C9-69B5-40E0-8248-67E1D776C20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88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10A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0ACC"/>
  </w:style>
  <w:style w:type="paragraph" w:styleId="Footer">
    <w:name w:val="footer"/>
    <w:basedOn w:val="Normal"/>
    <w:link w:val="FooterChar"/>
    <w:uiPriority w:val="99"/>
    <w:unhideWhenUsed/>
    <w:rsid w:val="00110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ACC"/>
  </w:style>
  <w:style w:type="paragraph" w:customStyle="1" w:styleId="ICESTTitle">
    <w:name w:val="ICEST_Title"/>
    <w:basedOn w:val="Normal"/>
    <w:rsid w:val="00110ACC"/>
    <w:pPr>
      <w:autoSpaceDE w:val="0"/>
      <w:autoSpaceDN w:val="0"/>
      <w:adjustRightInd w:val="0"/>
      <w:spacing w:after="0" w:line="240" w:lineRule="auto"/>
      <w:jc w:val="center"/>
    </w:pPr>
    <w:rPr>
      <w:rFonts w:ascii="Times New Roman" w:eastAsia="Times New Roman" w:hAnsi="Times New Roman" w:cs="Arial"/>
      <w:sz w:val="44"/>
    </w:rPr>
  </w:style>
  <w:style w:type="paragraph" w:customStyle="1" w:styleId="ICESTAbstract">
    <w:name w:val="ICEST_Abstract"/>
    <w:basedOn w:val="Normal"/>
    <w:rsid w:val="00110ACC"/>
    <w:pPr>
      <w:spacing w:after="0" w:line="240" w:lineRule="auto"/>
      <w:ind w:firstLine="198"/>
      <w:jc w:val="both"/>
    </w:pPr>
    <w:rPr>
      <w:rFonts w:ascii="Times New Roman" w:eastAsia="Times New Roman" w:hAnsi="Times New Roman"/>
      <w:b/>
      <w:sz w:val="18"/>
      <w:szCs w:val="24"/>
      <w:lang w:val="en-GB"/>
    </w:rPr>
  </w:style>
  <w:style w:type="paragraph" w:customStyle="1" w:styleId="ICESTNormal">
    <w:name w:val="ICEST_Normal"/>
    <w:basedOn w:val="Normal"/>
    <w:rsid w:val="00110ACC"/>
    <w:pPr>
      <w:autoSpaceDE w:val="0"/>
      <w:autoSpaceDN w:val="0"/>
      <w:adjustRightInd w:val="0"/>
      <w:spacing w:after="0" w:line="240" w:lineRule="auto"/>
      <w:ind w:firstLine="198"/>
      <w:jc w:val="both"/>
    </w:pPr>
    <w:rPr>
      <w:rFonts w:ascii="Times New Roman" w:eastAsia="Times New Roman" w:hAnsi="Times New Roman" w:cs="Arial"/>
      <w:sz w:val="20"/>
    </w:rPr>
  </w:style>
  <w:style w:type="paragraph" w:styleId="NoSpacing">
    <w:name w:val="No Spacing"/>
    <w:uiPriority w:val="1"/>
    <w:qFormat/>
    <w:rsid w:val="00110ACC"/>
    <w:rPr>
      <w:sz w:val="22"/>
      <w:szCs w:val="22"/>
    </w:rPr>
  </w:style>
  <w:style w:type="paragraph" w:styleId="BalloonText">
    <w:name w:val="Balloon Text"/>
    <w:basedOn w:val="Normal"/>
    <w:link w:val="BalloonTextChar"/>
    <w:uiPriority w:val="99"/>
    <w:semiHidden/>
    <w:unhideWhenUsed/>
    <w:rsid w:val="005B27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72D"/>
    <w:rPr>
      <w:rFonts w:ascii="Tahoma" w:hAnsi="Tahoma" w:cs="Tahoma"/>
      <w:sz w:val="16"/>
      <w:szCs w:val="16"/>
    </w:rPr>
  </w:style>
  <w:style w:type="character" w:styleId="Hyperlink">
    <w:name w:val="Hyperlink"/>
    <w:basedOn w:val="DefaultParagraphFont"/>
    <w:rsid w:val="005B272D"/>
    <w:rPr>
      <w:color w:val="0000FF"/>
      <w:u w:val="single"/>
    </w:rPr>
  </w:style>
  <w:style w:type="paragraph" w:customStyle="1" w:styleId="ICESTRefertext">
    <w:name w:val="ICEST_Refer_text"/>
    <w:basedOn w:val="Normal"/>
    <w:rsid w:val="005B272D"/>
    <w:pPr>
      <w:numPr>
        <w:numId w:val="2"/>
      </w:numPr>
      <w:tabs>
        <w:tab w:val="left" w:pos="357"/>
      </w:tabs>
      <w:autoSpaceDE w:val="0"/>
      <w:autoSpaceDN w:val="0"/>
      <w:adjustRightInd w:val="0"/>
      <w:spacing w:after="0" w:line="240" w:lineRule="auto"/>
      <w:jc w:val="both"/>
    </w:pPr>
    <w:rPr>
      <w:rFonts w:ascii="Times New Roman" w:eastAsia="Times New Roman" w:hAnsi="Times New Roman" w:cs="Arial"/>
      <w:sz w:val="18"/>
    </w:rPr>
  </w:style>
  <w:style w:type="paragraph" w:styleId="BodyText">
    <w:name w:val="Body Text"/>
    <w:basedOn w:val="Normal"/>
    <w:link w:val="BodyTextChar"/>
    <w:rsid w:val="00E9212A"/>
    <w:pPr>
      <w:spacing w:after="120" w:line="228" w:lineRule="auto"/>
      <w:ind w:firstLine="288"/>
      <w:jc w:val="both"/>
    </w:pPr>
    <w:rPr>
      <w:rFonts w:ascii="Times New Roman" w:eastAsia="SimSun" w:hAnsi="Times New Roman"/>
      <w:spacing w:val="-1"/>
      <w:sz w:val="20"/>
      <w:szCs w:val="20"/>
    </w:rPr>
  </w:style>
  <w:style w:type="character" w:customStyle="1" w:styleId="BodyTextChar">
    <w:name w:val="Body Text Char"/>
    <w:basedOn w:val="DefaultParagraphFont"/>
    <w:link w:val="BodyText"/>
    <w:rsid w:val="00E9212A"/>
    <w:rPr>
      <w:rFonts w:ascii="Times New Roman" w:eastAsia="SimSun" w:hAnsi="Times New Roman" w:cs="Times New Roman"/>
      <w:spacing w:val="-1"/>
      <w:sz w:val="20"/>
      <w:szCs w:val="20"/>
    </w:rPr>
  </w:style>
  <w:style w:type="paragraph" w:customStyle="1" w:styleId="Els-acknowledgement">
    <w:name w:val="Els-acknowledgement"/>
    <w:next w:val="Normal"/>
    <w:rsid w:val="00E9212A"/>
    <w:pPr>
      <w:keepNext/>
      <w:spacing w:before="480" w:after="240" w:line="220" w:lineRule="exact"/>
    </w:pPr>
    <w:rPr>
      <w:rFonts w:ascii="Times New Roman" w:eastAsia="SimSun" w:hAnsi="Times New Roman"/>
      <w:b/>
    </w:rPr>
  </w:style>
  <w:style w:type="paragraph" w:customStyle="1" w:styleId="Els-body-text">
    <w:name w:val="Els-body-text"/>
    <w:rsid w:val="00E9212A"/>
    <w:pPr>
      <w:keepNext/>
      <w:spacing w:line="240" w:lineRule="exact"/>
      <w:ind w:firstLine="238"/>
      <w:jc w:val="both"/>
    </w:pPr>
    <w:rPr>
      <w:rFonts w:ascii="Times New Roman" w:eastAsia="SimSun" w:hAnsi="Times New Roman"/>
    </w:rPr>
  </w:style>
  <w:style w:type="paragraph" w:customStyle="1" w:styleId="Els-reference-head">
    <w:name w:val="Els-reference-head"/>
    <w:next w:val="Normal"/>
    <w:rsid w:val="00E9212A"/>
    <w:pPr>
      <w:keepNext/>
      <w:spacing w:before="480" w:after="200" w:line="220" w:lineRule="exact"/>
    </w:pPr>
    <w:rPr>
      <w:rFonts w:ascii="Times New Roman" w:eastAsia="SimSun" w:hAnsi="Times New Roman"/>
      <w:b/>
    </w:rPr>
  </w:style>
  <w:style w:type="character" w:customStyle="1" w:styleId="authors">
    <w:name w:val="authors"/>
    <w:basedOn w:val="DefaultParagraphFont"/>
    <w:rsid w:val="008C4273"/>
  </w:style>
  <w:style w:type="paragraph" w:styleId="ListParagraph">
    <w:name w:val="List Paragraph"/>
    <w:basedOn w:val="Normal"/>
    <w:uiPriority w:val="34"/>
    <w:qFormat/>
    <w:rsid w:val="008C4273"/>
    <w:pPr>
      <w:ind w:left="720"/>
      <w:contextualSpacing/>
    </w:pPr>
  </w:style>
  <w:style w:type="character" w:styleId="Emphasis">
    <w:name w:val="Emphasis"/>
    <w:basedOn w:val="DefaultParagraphFont"/>
    <w:uiPriority w:val="20"/>
    <w:qFormat/>
    <w:rsid w:val="00D129B8"/>
    <w:rPr>
      <w:i/>
      <w:iCs/>
    </w:rPr>
  </w:style>
  <w:style w:type="character" w:customStyle="1" w:styleId="apple-converted-space">
    <w:name w:val="apple-converted-space"/>
    <w:basedOn w:val="DefaultParagraphFont"/>
    <w:rsid w:val="0019766B"/>
  </w:style>
  <w:style w:type="character" w:styleId="CommentReference">
    <w:name w:val="annotation reference"/>
    <w:basedOn w:val="DefaultParagraphFont"/>
    <w:uiPriority w:val="99"/>
    <w:semiHidden/>
    <w:unhideWhenUsed/>
    <w:rsid w:val="00AA4529"/>
    <w:rPr>
      <w:sz w:val="16"/>
      <w:szCs w:val="16"/>
    </w:rPr>
  </w:style>
  <w:style w:type="paragraph" w:styleId="CommentText">
    <w:name w:val="annotation text"/>
    <w:basedOn w:val="Normal"/>
    <w:link w:val="CommentTextChar"/>
    <w:uiPriority w:val="99"/>
    <w:semiHidden/>
    <w:unhideWhenUsed/>
    <w:rsid w:val="00AA4529"/>
    <w:pPr>
      <w:spacing w:line="240" w:lineRule="auto"/>
    </w:pPr>
    <w:rPr>
      <w:sz w:val="20"/>
      <w:szCs w:val="20"/>
    </w:rPr>
  </w:style>
  <w:style w:type="character" w:customStyle="1" w:styleId="CommentTextChar">
    <w:name w:val="Comment Text Char"/>
    <w:basedOn w:val="DefaultParagraphFont"/>
    <w:link w:val="CommentText"/>
    <w:uiPriority w:val="99"/>
    <w:semiHidden/>
    <w:rsid w:val="00AA4529"/>
  </w:style>
  <w:style w:type="paragraph" w:styleId="CommentSubject">
    <w:name w:val="annotation subject"/>
    <w:basedOn w:val="CommentText"/>
    <w:next w:val="CommentText"/>
    <w:link w:val="CommentSubjectChar"/>
    <w:uiPriority w:val="99"/>
    <w:semiHidden/>
    <w:unhideWhenUsed/>
    <w:rsid w:val="00AA4529"/>
    <w:rPr>
      <w:b/>
      <w:bCs/>
    </w:rPr>
  </w:style>
  <w:style w:type="character" w:customStyle="1" w:styleId="CommentSubjectChar">
    <w:name w:val="Comment Subject Char"/>
    <w:basedOn w:val="CommentTextChar"/>
    <w:link w:val="CommentSubject"/>
    <w:uiPriority w:val="99"/>
    <w:semiHidden/>
    <w:rsid w:val="00AA4529"/>
    <w:rPr>
      <w:b/>
      <w:bCs/>
    </w:rPr>
  </w:style>
  <w:style w:type="paragraph" w:styleId="NormalWeb">
    <w:name w:val="Normal (Web)"/>
    <w:basedOn w:val="Normal"/>
    <w:uiPriority w:val="99"/>
    <w:unhideWhenUsed/>
    <w:rsid w:val="00AA4529"/>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98487">
      <w:bodyDiv w:val="1"/>
      <w:marLeft w:val="0"/>
      <w:marRight w:val="0"/>
      <w:marTop w:val="0"/>
      <w:marBottom w:val="0"/>
      <w:divBdr>
        <w:top w:val="none" w:sz="0" w:space="0" w:color="auto"/>
        <w:left w:val="none" w:sz="0" w:space="0" w:color="auto"/>
        <w:bottom w:val="none" w:sz="0" w:space="0" w:color="auto"/>
        <w:right w:val="none" w:sz="0" w:space="0" w:color="auto"/>
      </w:divBdr>
    </w:div>
    <w:div w:id="103265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421/TEMxx-xx" TargetMode="External"/><Relationship Id="rId13" Type="http://schemas.openxmlformats.org/officeDocument/2006/relationships/hyperlink" Target="https://www.festo.com/rep/en_corp/assets/pdf/info_501_e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73/pnas.08054171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emjournal.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2F2B7-9C69-4678-9E99-08DB89FEA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TEM Journal</vt:lpstr>
    </vt:vector>
  </TitlesOfParts>
  <Company>UIKTEN</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Evidence-Constrained Curriculum Synthesis: National Expert Data, Semantic Retrieval, and Semester-Aware Planning</dc:title>
  <cp:lastModifiedBy>enes.sukic@outlook.com</cp:lastModifiedBy>
  <cp:revision>18</cp:revision>
  <dcterms:created xsi:type="dcterms:W3CDTF">2021-06-01T19:34:00Z</dcterms:created>
  <dcterms:modified xsi:type="dcterms:W3CDTF">2025-04-06T15:50:00Z</dcterms:modified>
  <dc:creator>Murat Kozhanov</dc:creator>
  <dc:subject>Curriculum-KAG</dc:subject>
</cp:coreProperties>
</file>