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CAF1" w14:textId="77777777" w:rsidR="0020025E" w:rsidRPr="006663C8" w:rsidRDefault="0065347C" w:rsidP="006663C8">
      <w:pPr>
        <w:spacing w:after="0"/>
        <w:jc w:val="center"/>
        <w:rPr>
          <w:rFonts w:ascii="Times New Roman" w:hAnsi="Times New Roman"/>
          <w:b/>
          <w:sz w:val="48"/>
          <w:lang w:eastAsia="en-GB"/>
        </w:rPr>
      </w:pPr>
      <w:r>
        <w:rPr>
          <w:rFonts w:ascii="Times New Roman" w:hAnsi="Times New Roman" w:eastAsia="Times New Roman"/>
          <w:b/>
          <w:i w:val="0"/>
          <w:color w:val="000000"/>
          <w:sz w:val="48"/>
        </w:rPr>
        <w:t>Доказательный синтез учебных планов</w:t>
      </w:r>
    </w:p>
    <w:p w14:paraId="497974E3" w14:textId="77777777" w:rsidR="0065347C" w:rsidRPr="0065347C" w:rsidRDefault="0065347C" w:rsidP="006663C8">
      <w:pPr>
        <w:pStyle w:val="ICESTTitle"/>
        <w:jc w:val="center"/>
        <w:rPr>
          <w:rFonts w:cs="Times New Roman"/>
          <w:b/>
          <w:sz w:val="48"/>
          <w:szCs w:val="48"/>
          <w:lang w:val="en-GB" w:eastAsia="en-GB"/>
        </w:rPr>
      </w:pPr>
      <w:r>
        <w:rPr>
          <w:rFonts w:ascii="Times New Roman" w:hAnsi="Times New Roman" w:eastAsia="Times New Roman"/>
          <w:b/>
          <w:i w:val="0"/>
          <w:color w:val="000000"/>
          <w:sz w:val="48"/>
        </w:rPr>
        <w:t>экспертные данные, семантический поиск и ограниченное распределение по семестрам</w:t>
      </w:r>
    </w:p>
    <w:p w14:paraId="53861389" w14:textId="77777777" w:rsidR="00110ACC" w:rsidRPr="00A1732B" w:rsidRDefault="00110ACC" w:rsidP="006663C8">
      <w:pPr>
        <w:pStyle w:val="ICESTTitle"/>
        <w:rPr>
          <w:rFonts w:cs="Times New Roman"/>
          <w:sz w:val="28"/>
          <w:szCs w:val="46"/>
          <w:lang w:val="en-GB" w:eastAsia="en-GB"/>
        </w:rPr>
      </w:pPr>
    </w:p>
    <w:p w14:paraId="59A85E43" w14:textId="77777777" w:rsidR="00110ACC" w:rsidRDefault="00110ACC" w:rsidP="00700244">
      <w:pPr>
        <w:keepNext/>
        <w:suppressAutoHyphens/>
        <w:spacing w:after="0" w:line="240" w:lineRule="auto"/>
        <w:jc w:val="center"/>
        <w:rPr>
          <w:rFonts w:ascii="Times New Roman" w:hAnsi="Times New Roman"/>
          <w:noProof/>
          <w:sz w:val="28"/>
          <w:vertAlign w:val="superscript"/>
        </w:rPr>
      </w:pPr>
      <w:r>
        <w:rPr>
          <w:rFonts w:ascii="Times New Roman" w:hAnsi="Times New Roman" w:eastAsia="Times New Roman"/>
          <w:b w:val="0"/>
          <w:i w:val="0"/>
          <w:color w:val="000000"/>
          <w:sz w:val="28"/>
        </w:rPr>
        <w:t>Murat Kozhanov</w:t>
      </w:r>
    </w:p>
    <w:p w14:paraId="2B3514F8" w14:textId="77777777" w:rsidR="00700244" w:rsidRPr="00700244" w:rsidRDefault="00700244" w:rsidP="00700244">
      <w:pPr>
        <w:keepNext/>
        <w:suppressAutoHyphens/>
        <w:spacing w:after="0" w:line="240" w:lineRule="auto"/>
        <w:jc w:val="center"/>
        <w:rPr>
          <w:rFonts w:ascii="Times New Roman" w:hAnsi="Times New Roman"/>
          <w:noProof/>
          <w:sz w:val="28"/>
        </w:rPr>
      </w:pPr>
    </w:p>
    <w:p w14:paraId="2E7245C3" w14:textId="77777777" w:rsidR="00110ACC" w:rsidRPr="00046F08" w:rsidRDefault="00110ACC" w:rsidP="00110ACC">
      <w:pPr>
        <w:suppressAutoHyphens/>
        <w:spacing w:after="0" w:line="200" w:lineRule="exact"/>
        <w:jc w:val="center"/>
        <w:rPr>
          <w:rFonts w:ascii="Times New Roman" w:hAnsi="Times New Roman"/>
          <w:i/>
          <w:noProof/>
        </w:rPr>
      </w:pPr>
      <w:r>
        <w:rPr>
          <w:rFonts w:ascii="Times New Roman" w:hAnsi="Times New Roman" w:eastAsia="Times New Roman"/>
          <w:b w:val="0"/>
          <w:i/>
          <w:color w:val="000000"/>
          <w:sz w:val="20"/>
        </w:rPr>
        <w:t>Abylkas Saginov Karaganda Technical University, Karaganda, Kazakhstan</w:t>
      </w:r>
    </w:p>
    <w:p w14:paraId="70EB113E" w14:textId="77777777" w:rsidR="00110ACC" w:rsidRPr="00046F08" w:rsidRDefault="00110ACC" w:rsidP="00110ACC">
      <w:pPr>
        <w:suppressAutoHyphens/>
        <w:spacing w:after="0" w:line="200" w:lineRule="exact"/>
        <w:jc w:val="center"/>
        <w:rPr>
          <w:rFonts w:ascii="Times New Roman" w:hAnsi="Times New Roman"/>
          <w:i/>
          <w:noProof/>
        </w:rPr>
      </w:pPr>
      <w:r>
        <w:rPr>
          <w:rFonts w:ascii="Times New Roman" w:hAnsi="Times New Roman" w:eastAsia="Times New Roman"/>
          <w:b w:val="0"/>
          <w:i/>
          <w:color w:val="000000"/>
          <w:sz w:val="20"/>
        </w:rPr>
        <w:t>Doctoral School of Applied Informatics and Applied Mathematics, Óbuda University, Budapest, Hungary</w:t>
      </w:r>
    </w:p>
    <w:p w14:paraId="05017BB3" w14:textId="77777777" w:rsidR="00110ACC" w:rsidRPr="00572761" w:rsidRDefault="00110ACC" w:rsidP="00110ACC">
      <w:pPr>
        <w:suppressAutoHyphens/>
        <w:spacing w:after="0" w:line="200" w:lineRule="exact"/>
        <w:jc w:val="center"/>
        <w:rPr>
          <w:rFonts w:ascii="Times New Roman" w:hAnsi="Times New Roman"/>
          <w:i/>
          <w:noProof/>
          <w:sz w:val="14"/>
        </w:rPr>
      </w:pPr>
      <w:r>
        <w:rPr>
          <w:rFonts w:ascii="Times New Roman" w:hAnsi="Times New Roman" w:eastAsia="Times New Roman"/>
          <w:b w:val="0"/>
          <w:i/>
          <w:color w:val="000000"/>
          <w:sz w:val="20"/>
        </w:rPr>
        <w:t>Corresponding author: m.kozhanov@ktu.edu.kz</w:t>
      </w:r>
    </w:p>
    <w:p w14:paraId="24F34564" w14:textId="77777777" w:rsidR="00110ACC" w:rsidRPr="00572761" w:rsidRDefault="00110ACC" w:rsidP="00110ACC">
      <w:pPr>
        <w:pStyle w:val="ICESTTitle"/>
        <w:tabs>
          <w:tab w:val="left" w:pos="500"/>
        </w:tabs>
        <w:jc w:val="left"/>
        <w:rPr>
          <w:rFonts w:cs="Times New Roman"/>
          <w:sz w:val="32"/>
          <w:szCs w:val="46"/>
          <w:lang w:val="en-GB" w:eastAsia="en-GB"/>
        </w:rPr>
      </w:pPr>
    </w:p>
    <w:p w14:paraId="23B9CC1F" w14:textId="77777777" w:rsidR="00110ACC" w:rsidRDefault="00110ACC" w:rsidP="00110ACC">
      <w:pPr>
        <w:pStyle w:val="ICESTAbstract"/>
        <w:rPr>
          <w:i/>
          <w:iCs/>
          <w:sz w:val="20"/>
        </w:rPr>
        <w:sectPr w:rsidR="00110ACC" w:rsidSect="00B85B29">
          <w:pgSz w:w="11907" w:h="16839" w:code="9"/>
          <w:pgMar w:top="1138" w:right="1022" w:bottom="1138" w:left="1138" w:header="720" w:footer="432" w:gutter="0"/>
          <w:pgNumType w:start="97"/>
          <w:cols w:space="720"/>
          <w:docGrid w:linePitch="360"/>
        </w:sectPr>
      </w:pPr>
    </w:p>
    <w:p>
      <w:pPr>
        <w:pStyle w:val="ICESTAbstract"/>
        <w:ind w:firstLine="283"/>
        <w:jc w:val="both"/>
      </w:pPr>
      <w:r>
        <w:rPr>
          <w:rFonts w:ascii="Times New Roman" w:hAnsi="Times New Roman" w:eastAsia="Times New Roman"/>
          <w:b/>
          <w:i/>
          <w:color w:val="000000"/>
          <w:sz w:val="20"/>
        </w:rPr>
        <w:t xml:space="preserve">Аннотация - </w:t>
      </w:r>
      <w:r>
        <w:rPr>
          <w:rFonts w:ascii="Times New Roman" w:hAnsi="Times New Roman" w:eastAsia="Times New Roman"/>
          <w:b w:val="0"/>
          <w:i w:val="0"/>
          <w:color w:val="000000"/>
          <w:sz w:val="20"/>
        </w:rPr>
        <w:t>Представлена система Curriculum-KAG, преобразующая цели и результаты обучения в проверяемые учебные планы. Метод объединяет экспертную базу ЕПВО, многоязычный семантический поиск, граф пререквизитов, нормативные правила и constrained-распределение по семестрам. Без ГОСО семантически скорректированное соответствие семестру составило 86,84%, с ГОСО - 81,23%; обе группы сохранили 100% профильного происхождения дисциплин из ЕПВО и ноль жёстких нарушений.</w:t>
      </w:r>
    </w:p>
    <w:p>
      <w:pPr>
        <w:pStyle w:val="ICESTAbstract"/>
        <w:ind w:firstLine="283"/>
        <w:jc w:val="both"/>
      </w:pPr>
      <w:r>
        <w:rPr>
          <w:rFonts w:ascii="Times New Roman" w:hAnsi="Times New Roman" w:eastAsia="Times New Roman"/>
          <w:b/>
          <w:i/>
          <w:color w:val="000000"/>
          <w:sz w:val="20"/>
        </w:rPr>
        <w:t xml:space="preserve">Ключевые слова - </w:t>
      </w:r>
      <w:r>
        <w:rPr>
          <w:rFonts w:ascii="Times New Roman" w:hAnsi="Times New Roman" w:eastAsia="Times New Roman"/>
          <w:b w:val="0"/>
          <w:i w:val="0"/>
          <w:color w:val="000000"/>
          <w:sz w:val="20"/>
        </w:rPr>
        <w:t>образовательная программа, результаты обучения, ЕПВО, семантический поиск, constrained-оптимизация</w:t>
      </w:r>
    </w:p>
    <w:p>
      <w:pPr>
        <w:spacing w:before="120" w:after="40"/>
        <w:ind w:firstLine="0"/>
        <w:jc w:val="left"/>
      </w:pPr>
      <w:r>
        <w:rPr>
          <w:rFonts w:ascii="Times New Roman" w:hAnsi="Times New Roman" w:eastAsia="Times New Roman"/>
          <w:b/>
          <w:i w:val="0"/>
          <w:color w:val="000000"/>
          <w:sz w:val="22"/>
        </w:rPr>
        <w:t>1. Введение</w:t>
      </w:r>
    </w:p>
    <w:p>
      <w:pPr>
        <w:pStyle w:val="ICESTNormal"/>
        <w:spacing w:line="240" w:lineRule="auto" w:after="0"/>
        <w:ind w:firstLine="283"/>
        <w:jc w:val="both"/>
      </w:pPr>
      <w:r>
        <w:rPr>
          <w:rFonts w:ascii="Times New Roman" w:hAnsi="Times New Roman" w:eastAsia="Times New Roman"/>
          <w:b w:val="0"/>
          <w:i w:val="0"/>
          <w:color w:val="000000"/>
          <w:sz w:val="22"/>
        </w:rPr>
        <w:t>Образовательная программа должна связывать заявленные результаты обучения с дисциплинами, оцениванием, пререквизитами, кредитами и последовательностью семестров. Эта логика соответствует конструктивному согласованию и outcome-based education: результат обучения считается достижимым только при наличии содержательных и проверяемых учебных единиц [1], [2]. На практике разработчик одновременно учитывает уровень образования, предметную область, нормативные требования и допустимую нагрузку.</w:t>
      </w:r>
    </w:p>
    <w:p>
      <w:pPr>
        <w:pStyle w:val="ICESTNormal"/>
        <w:spacing w:line="240" w:lineRule="auto" w:after="0"/>
        <w:ind w:firstLine="283"/>
        <w:jc w:val="both"/>
      </w:pPr>
      <w:r>
        <w:rPr>
          <w:rFonts w:ascii="Times New Roman" w:hAnsi="Times New Roman" w:eastAsia="Times New Roman"/>
          <w:b w:val="0"/>
          <w:i w:val="0"/>
          <w:color w:val="000000"/>
          <w:sz w:val="22"/>
        </w:rPr>
        <w:t>Curriculum-KAG решает задачу как управляемый синтез на основе доказательств. Система извлекает реальные дисциплины из национального Реестра образовательных программ ЕПВО, прогнозирует связи дисциплина-результат обучения, переносит историческое экспертное подтверждение, формирует граф пререквизитов и строит один или три варианта учебного плана. До активации независимый verifier проверяет кредиты, семестры, уровень образования, предметную релевантность, нормативные компоненты и покрытие результатов обучения реальными дисциплинами.</w:t>
      </w:r>
    </w:p>
    <w:p>
      <w:pPr>
        <w:pStyle w:val="ICESTNormal"/>
        <w:spacing w:line="240" w:lineRule="auto" w:after="0"/>
        <w:ind w:firstLine="283"/>
        <w:jc w:val="both"/>
      </w:pPr>
      <w:r>
        <w:rPr>
          <w:rFonts w:ascii="Times New Roman" w:hAnsi="Times New Roman" w:eastAsia="Times New Roman"/>
          <w:b w:val="0"/>
          <w:i w:val="0"/>
          <w:color w:val="000000"/>
          <w:sz w:val="22"/>
        </w:rPr>
        <w:t>Исследовательский вопрос состоит в том, может ли гибридная архитектура преобразовать шумные многоязычные данные и вероятностные оценки в полный план с формально проверяемыми инвариантами. Новизна заключается в совместном использовании четырёх источников: семантики текста, накопленных внешних экспертных оценок, структуры графа и жёстких ограничений программы.</w:t>
      </w:r>
    </w:p>
    <w:p>
      <w:pPr>
        <w:spacing w:before="120" w:after="40"/>
        <w:ind w:firstLine="0"/>
        <w:jc w:val="left"/>
      </w:pPr>
      <w:r>
        <w:rPr>
          <w:rFonts w:ascii="Times New Roman" w:hAnsi="Times New Roman" w:eastAsia="Times New Roman"/>
          <w:b/>
          <w:i w:val="0"/>
          <w:color w:val="000000"/>
          <w:sz w:val="22"/>
        </w:rPr>
        <w:t>1.1. Гипотезы и научный вклад</w:t>
      </w:r>
    </w:p>
    <w:p>
      <w:pPr>
        <w:pStyle w:val="ICESTNormal"/>
        <w:spacing w:line="240" w:lineRule="auto" w:after="0"/>
        <w:ind w:firstLine="283"/>
        <w:jc w:val="both"/>
      </w:pPr>
      <w:r>
        <w:rPr>
          <w:rFonts w:ascii="Times New Roman" w:hAnsi="Times New Roman" w:eastAsia="Times New Roman"/>
          <w:b w:val="0"/>
          <w:i w:val="0"/>
          <w:color w:val="000000"/>
          <w:sz w:val="22"/>
        </w:rPr>
        <w:t>Проверяются четыре гипотезы. H1: многолетний корпус ЕПВО содержит обучаемый сигнал для различения подтверждённых и неподтверждённых связей дисциплина-РО. H2: scoped-память экспертов улучшает порядок кандидатов по сравнению с одной семантикой. H3: constrained-планировщик преобразует вероятностные связи в точный кредитный план без жёстких нарушений. H4: нормативный и международный режимы требуют разных знаменателей из-за защищённых компонентов.</w:t>
      </w:r>
    </w:p>
    <w:p>
      <w:pPr>
        <w:pStyle w:val="ICESTNormal"/>
        <w:spacing w:line="240" w:lineRule="auto" w:after="0"/>
        <w:ind w:firstLine="283"/>
        <w:jc w:val="both"/>
      </w:pPr>
      <w:r>
        <w:rPr>
          <w:rFonts w:ascii="Times New Roman" w:hAnsi="Times New Roman" w:eastAsia="Times New Roman"/>
          <w:b w:val="0"/>
          <w:i w:val="0"/>
          <w:color w:val="000000"/>
          <w:sz w:val="22"/>
        </w:rPr>
        <w:t>Первый вклад - воспроизводимый национальный конвейер данных с разделением raw, normalized, approved repository и generation candidates. Второй - двухэтапная рекомендация: семантический классификатор получает кандидатов, а экспертная память меняет их порядок. Третий - graph-aware планировщик, для которого кредиты, уровни, направления, пререквизиты и ГОСО являются ограничениями, а не предупреждениями после генерации.</w:t>
      </w:r>
    </w:p>
    <w:p>
      <w:pPr>
        <w:pStyle w:val="ICESTNormal"/>
        <w:spacing w:line="240" w:lineRule="auto" w:after="0"/>
        <w:ind w:firstLine="283"/>
        <w:jc w:val="both"/>
      </w:pPr>
      <w:r>
        <w:rPr>
          <w:rFonts w:ascii="Times New Roman" w:hAnsi="Times New Roman" w:eastAsia="Times New Roman"/>
          <w:b w:val="0"/>
          <w:i w:val="0"/>
          <w:color w:val="000000"/>
          <w:sz w:val="22"/>
        </w:rPr>
        <w:t>Четвёртый вклад - протокол объяснения и обратной связи. Каждая дисциплина прослеживается до источника и РО; прогноз модели отделён от экспертного доказательства; bridge видим; решение эксперта версионируется. Пятый вклад - независимый verifier сохранённого плана, который не доверяет внутреннему score оптимизатора.</w:t>
      </w:r>
    </w:p>
    <w:p>
      <w:pPr>
        <w:pStyle w:val="ICESTNormal"/>
        <w:spacing w:line="240" w:lineRule="auto" w:after="0"/>
        <w:ind w:firstLine="283"/>
        <w:jc w:val="both"/>
      </w:pPr>
      <w:r>
        <w:rPr>
          <w:rFonts w:ascii="Times New Roman" w:hAnsi="Times New Roman" w:eastAsia="Times New Roman"/>
          <w:b w:val="0"/>
          <w:i w:val="0"/>
          <w:color w:val="000000"/>
          <w:sz w:val="22"/>
        </w:rPr>
        <w:t>В отличие от запроса языковой модели на правдоподобный список названий, Curriculum-KAG работает в ограниченном утверждённом репозитории и сохраняет целые кредиты. Генеративный ИИ включается только в явно маркированные вспомогательные функции. Основной план воспроизводится и без внешнего API.</w:t>
      </w:r>
    </w:p>
    <w:p>
      <w:pPr>
        <w:spacing w:before="120" w:after="40"/>
        <w:ind w:firstLine="0"/>
        <w:jc w:val="left"/>
      </w:pPr>
      <w:r>
        <w:rPr>
          <w:rFonts w:ascii="Times New Roman" w:hAnsi="Times New Roman" w:eastAsia="Times New Roman"/>
          <w:b/>
          <w:i w:val="0"/>
          <w:color w:val="000000"/>
          <w:sz w:val="22"/>
        </w:rPr>
        <w:t>2. Связанные исследования</w:t>
      </w:r>
    </w:p>
    <w:p>
      <w:pPr>
        <w:pStyle w:val="ICESTNormal"/>
        <w:spacing w:line="240" w:lineRule="auto" w:after="0"/>
        <w:ind w:firstLine="283"/>
        <w:jc w:val="both"/>
      </w:pPr>
      <w:r>
        <w:rPr>
          <w:rFonts w:ascii="Times New Roman" w:hAnsi="Times New Roman" w:eastAsia="Times New Roman"/>
          <w:b w:val="0"/>
          <w:i w:val="0"/>
          <w:color w:val="000000"/>
          <w:sz w:val="22"/>
        </w:rPr>
        <w:t>Sentence-BERT формирует векторные представления предложений и обеспечивает быстрый семантический поиск [3]. Для Казахстана особенно важна многоязычность, поскольку карточки дисциплин представлены на казахском, русском и английском языках. BM25 сохраняет точные профессиональные термины [4], а Knowledge-Augmented Generation дополняет поиск сущностями, происхождением и правилами [5].</w:t>
      </w:r>
    </w:p>
    <w:p>
      <w:pPr>
        <w:pStyle w:val="ICESTNormal"/>
        <w:spacing w:line="240" w:lineRule="auto" w:after="0"/>
        <w:ind w:firstLine="283"/>
        <w:jc w:val="both"/>
      </w:pPr>
      <w:r>
        <w:rPr>
          <w:rFonts w:ascii="Times New Roman" w:hAnsi="Times New Roman" w:eastAsia="Times New Roman"/>
          <w:b w:val="0"/>
          <w:i w:val="0"/>
          <w:color w:val="000000"/>
          <w:sz w:val="22"/>
        </w:rPr>
        <w:t>Проектирование плана является многокритериальной задачей: требуется максимизировать покрытие, релевантность и междисциплинарность при минимизации дублирования и нарушений. NSGA-II используется как экспериментальная Pareto-ветка [6]. Рабочий путь системы - детерминированный constrained-планировщик с repair-эвристиками, что обеспечивает повторяемость результата и независимую проверку.</w:t>
      </w:r>
    </w:p>
    <w:p>
      <w:pPr>
        <w:pStyle w:val="ICESTNormal"/>
        <w:spacing w:line="240" w:lineRule="auto" w:after="0"/>
        <w:ind w:firstLine="283"/>
        <w:jc w:val="both"/>
      </w:pPr>
      <w:r>
        <w:rPr>
          <w:rFonts w:ascii="Times New Roman" w:hAnsi="Times New Roman" w:eastAsia="Times New Roman"/>
          <w:b w:val="0"/>
          <w:i w:val="0"/>
          <w:color w:val="000000"/>
          <w:sz w:val="22"/>
        </w:rPr>
        <w:t>Контролируемые эксперименты GNN и LSTM не превзошли SBERT на зафиксированных выборках. Поэтому графовые правила применяются для замыкания пререквизитов и верификации, а усложнение нейронной архитектуры не внедряется без подтверждённого выигрыша [7]-[9].</w:t>
      </w:r>
    </w:p>
    <w:p>
      <w:pPr>
        <w:spacing w:before="120" w:after="40"/>
        <w:ind w:firstLine="0"/>
        <w:jc w:val="left"/>
      </w:pPr>
      <w:r>
        <w:rPr>
          <w:rFonts w:ascii="Times New Roman" w:hAnsi="Times New Roman" w:eastAsia="Times New Roman"/>
          <w:b/>
          <w:i w:val="0"/>
          <w:color w:val="000000"/>
          <w:sz w:val="22"/>
        </w:rPr>
        <w:t>3. Данные и происхождение</w:t>
      </w:r>
    </w:p>
    <w:p>
      <w:pPr>
        <w:pStyle w:val="ICESTNormal"/>
        <w:spacing w:line="240" w:lineRule="auto" w:after="0"/>
        <w:ind w:firstLine="283"/>
        <w:jc w:val="both"/>
      </w:pPr>
      <w:r>
        <w:rPr>
          <w:rFonts w:ascii="Times New Roman" w:hAnsi="Times New Roman" w:eastAsia="Times New Roman"/>
          <w:b w:val="0"/>
          <w:i w:val="0"/>
          <w:color w:val="000000"/>
          <w:sz w:val="22"/>
        </w:rPr>
        <w:t>Корпус получен из публичного Реестра образовательных программ ЕПВО. Данные отражают двухэтапную экспертизу. Сначала кафедра разрабатывает программу и связывает дисциплины с результатами обучения. Затем внешние эксперты оценивают достижимость связей как низкую, среднюю или высокую. Восстановленные значения 0, 0,5 и 1 являются силой экспертной связи, а не уверенностью нейронной модели.</w:t>
      </w:r>
    </w:p>
    <w:p>
      <w:pPr>
        <w:pStyle w:val="ICESTNormal"/>
        <w:spacing w:line="240" w:lineRule="auto" w:after="0"/>
        <w:ind w:firstLine="283"/>
        <w:jc w:val="both"/>
      </w:pPr>
      <w:r>
        <w:rPr>
          <w:rFonts w:ascii="Times New Roman" w:hAnsi="Times New Roman" w:eastAsia="Times New Roman"/>
          <w:b w:val="0"/>
          <w:i w:val="0"/>
          <w:color w:val="000000"/>
          <w:sz w:val="22"/>
        </w:rPr>
        <w:t>Конвейер разделён на четыре слоя: неизменяемые raw-данные; нормализованные и дедуплицированные программы, дисциплины, результаты и экспертные связи; утверждённый многоязычный репозиторий; кандидаты конкретного проекта. PostgreSQL/pgvector хранит три языковые версии, embeddings, пререквизиты, модельные оценки, обратную связь и версии планов.</w:t>
      </w:r>
    </w:p>
    <w:p>
      <w:pPr>
        <w:pStyle w:val="ICESTNormal"/>
        <w:spacing w:line="240" w:lineRule="auto" w:after="0"/>
        <w:ind w:firstLine="283"/>
        <w:jc w:val="both"/>
      </w:pPr>
      <w:r>
        <w:rPr>
          <w:rFonts w:ascii="Times New Roman" w:hAnsi="Times New Roman" w:eastAsia="Times New Roman"/>
          <w:b w:val="0"/>
          <w:i w:val="0"/>
          <w:color w:val="000000"/>
          <w:sz w:val="22"/>
        </w:rPr>
        <w:t>Разбиение train/validation/test выполнено на уровне программ: карточки одной университетской программы не попадают одновременно в обучение и тест. Пороги и веса выбираются на validation и фиксируются до теста. Для воспроизводимости сохраняются seed, конфигурация, контрольные суммы и идентификаторы split.</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873"/>
        <w:gridCol w:w="4873"/>
      </w:tblGrid>
      <w:tr>
        <w:trPr>
          <w:tblHeader w:val="true"/>
        </w:trPr>
        <w:tc>
          <w:tcPr>
            <w:tcW w:type="dxa" w:w="4873"/>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Сущность набора данных</w:t>
            </w:r>
          </w:p>
        </w:tc>
        <w:tc>
          <w:tcPr>
            <w:tcW w:type="dxa" w:w="4873"/>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Количество</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Образовательные программы</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12 215</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Исходные записи дисциплин</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408 638</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Исходные результаты обучения</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124 521</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Нормализованные дисциплины</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191 292</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Нормализованные экспертные связи</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932 483</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Пары с числовой экспертной оценкой</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800 793</w:t>
            </w:r>
          </w:p>
        </w:tc>
      </w:tr>
      <w:tr>
        <w:tc>
          <w:tcPr>
            <w:tcW w:type="dxa" w:w="4873"/>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Утверждённые рабочие дисциплины</w:t>
            </w:r>
          </w:p>
        </w:tc>
        <w:tc>
          <w:tcPr>
            <w:tcW w:type="dxa" w:w="4873"/>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21 525</w:t>
            </w:r>
          </w:p>
        </w:tc>
      </w:tr>
    </w:tbl>
    <w:p>
      <w:pPr>
        <w:pStyle w:val="ICESTNormal"/>
        <w:ind w:firstLine="0"/>
        <w:jc w:val="center"/>
      </w:pPr>
      <w:r>
        <w:rPr>
          <w:rFonts w:ascii="Times New Roman" w:hAnsi="Times New Roman" w:eastAsia="Times New Roman"/>
          <w:b w:val="0"/>
          <w:i/>
          <w:color w:val="000000"/>
          <w:sz w:val="20"/>
        </w:rPr>
        <w:t>Таблица 1. Корпус ЕПВО и рабочий репозиторий.</w:t>
      </w:r>
    </w:p>
    <w:tbl>
      <w:tblPr>
        <w:tblW w:type="auto" w:w="0"/>
        <w:jc w:val="center"/>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747"/>
      </w:tblGrid>
      <w:tr>
        <w:tc>
          <w:tcPr>
            <w:tcW w:type="dxa" w:w="9747"/>
            <w:shd w:fill="F2F2F2"/>
            <w:tcMar>
              <w:top w:w="180" w:type="dxa"/>
              <w:start w:w="160" w:type="dxa"/>
              <w:bottom w:w="180" w:type="dxa"/>
              <w:end w:w="160" w:type="dxa"/>
            </w:tcMar>
          </w:tcPr>
          <w:p>
            <w:pPr>
              <w:jc w:val="center"/>
            </w:pPr>
            <w:r>
              <w:rPr>
                <w:rFonts w:ascii="Times New Roman" w:hAnsi="Times New Roman" w:eastAsia="Times New Roman"/>
                <w:b/>
                <w:i w:val="0"/>
                <w:color w:val="000000"/>
                <w:sz w:val="20"/>
              </w:rPr>
              <w:t>Место для рисунка 2</w:t>
            </w:r>
          </w:p>
        </w:tc>
      </w:tr>
    </w:tbl>
    <w:p>
      <w:pPr>
        <w:pStyle w:val="ICESTNormal"/>
        <w:ind w:firstLine="0"/>
        <w:jc w:val="center"/>
      </w:pPr>
      <w:r>
        <w:rPr>
          <w:rFonts w:ascii="Times New Roman" w:hAnsi="Times New Roman" w:eastAsia="Times New Roman"/>
          <w:b w:val="0"/>
          <w:i/>
          <w:color w:val="000000"/>
          <w:sz w:val="20"/>
        </w:rPr>
        <w:t>Рисунок 2. Происхождение данных ЕПВО и формирование экспертной оценки.</w:t>
      </w:r>
    </w:p>
    <w:p>
      <w:pPr>
        <w:pStyle w:val="ICESTNormal"/>
        <w:ind w:firstLine="0"/>
        <w:jc w:val="both"/>
      </w:pPr>
      <w:r>
        <w:rPr>
          <w:rFonts w:ascii="Times New Roman" w:hAnsi="Times New Roman" w:eastAsia="Times New Roman"/>
          <w:b/>
          <w:i w:val="0"/>
          <w:color w:val="000000"/>
          <w:sz w:val="16"/>
        </w:rPr>
        <w:t xml:space="preserve">Промпт для генерации изображения (удалить перед подачей): </w:t>
      </w:r>
      <w:r>
        <w:rPr>
          <w:rFonts w:ascii="Times New Roman" w:hAnsi="Times New Roman" w:eastAsia="Times New Roman"/>
          <w:b w:val="0"/>
          <w:i/>
          <w:color w:val="000000"/>
          <w:sz w:val="16"/>
        </w:rPr>
        <w:t>Создай научную data-lineage схему: разработка ОП кафедрой, внутренняя связь дисциплина-РО, внешние экспертные оценки 0/0,5/1, неизменяемые raw-записи ЕПВО, нормализация и дедупликация, утверждённый многоязычный репозиторий, program-level split train/validation/test, embeddings и кандидаты генерации. Разделить прогноз ИИ и экспертное доказательство. Белый фон, плоский вектор, читаемость в одну колонку, без вымышленных чисел.</w:t>
      </w:r>
    </w:p>
    <w:p>
      <w:pPr>
        <w:spacing w:before="120" w:after="40"/>
        <w:ind w:firstLine="0"/>
        <w:jc w:val="left"/>
      </w:pPr>
      <w:r>
        <w:rPr>
          <w:rFonts w:ascii="Times New Roman" w:hAnsi="Times New Roman" w:eastAsia="Times New Roman"/>
          <w:b/>
          <w:i w:val="0"/>
          <w:color w:val="000000"/>
          <w:sz w:val="22"/>
        </w:rPr>
        <w:t>4. Метод</w:t>
      </w:r>
    </w:p>
    <w:p>
      <w:pPr>
        <w:pStyle w:val="ICESTNormal"/>
        <w:spacing w:line="240" w:lineRule="auto" w:after="0"/>
        <w:ind w:firstLine="283"/>
        <w:jc w:val="both"/>
      </w:pPr>
      <w:r>
        <w:rPr>
          <w:rFonts w:ascii="Times New Roman" w:hAnsi="Times New Roman" w:eastAsia="Times New Roman"/>
          <w:b w:val="0"/>
          <w:i w:val="0"/>
          <w:color w:val="000000"/>
          <w:sz w:val="22"/>
        </w:rPr>
        <w:t>Для дисциплины c_i и результата обучения o_j многоязычный encoder g_theta формирует нормализованные векторы. Семантическая близость рассчитывается как косинус, а лексический сигнал сохраняет точные профессиональные термины. Итог поиска определяется формулой (1), где alpha выбирается по validation.</w:t>
      </w:r>
    </w:p>
    <w:p>
      <w:pPr>
        <w:pStyle w:val="ICESTNormal"/>
        <w:spacing w:line="240" w:lineRule="auto" w:after="0"/>
        <w:ind w:firstLine="283"/>
        <w:jc w:val="both"/>
      </w:pPr>
      <w:r>
        <w:rPr>
          <w:rFonts w:ascii="Times New Roman" w:hAnsi="Times New Roman" w:eastAsia="Times New Roman"/>
          <w:b w:val="0"/>
          <w:i w:val="0"/>
          <w:color w:val="000000"/>
          <w:sz w:val="22"/>
        </w:rPr>
        <w:t>Экспертный сигнал ЕПВО переносится консервативно: он используется только при достаточном совпадении исходного и нового результата обучения. Несколько экспертных голосов агрегируются без сведения средней и высокой связи к одной бинарной метке. В интерфейсе AI-score и EPVO-score показаны раздельно.</w:t>
      </w:r>
    </w:p>
    <w:p>
      <w:pPr>
        <w:pStyle w:val="ICESTNormal"/>
        <w:spacing w:line="240" w:lineRule="auto" w:after="0"/>
        <w:ind w:firstLine="283"/>
        <w:jc w:val="both"/>
      </w:pPr>
      <w:r>
        <w:rPr>
          <w:rFonts w:ascii="Times New Roman" w:hAnsi="Times New Roman" w:eastAsia="Times New Roman"/>
          <w:b w:val="0"/>
          <w:i w:val="0"/>
          <w:color w:val="000000"/>
          <w:sz w:val="22"/>
        </w:rPr>
        <w:t>Дисциплина допускается в план, если соответствует уровню и выбранному направлению, подтверждает хотя бы один результат обучения, проходит domain guard и допускает замыкание пререквизитов. Реальные дисциплины ЕПВО имеют приоритет. Bridge-модуль создаётся только при отсутствии сильной реальной замены и явно маркируется для экспертного решения.</w:t>
      </w:r>
    </w:p>
    <w:p>
      <w:pPr>
        <w:pStyle w:val="ICESTNormal"/>
        <w:spacing w:line="240" w:lineRule="auto" w:after="0"/>
        <w:ind w:firstLine="283"/>
        <w:jc w:val="both"/>
      </w:pPr>
      <w:r>
        <w:rPr>
          <w:rFonts w:ascii="Times New Roman" w:hAnsi="Times New Roman" w:eastAsia="Times New Roman"/>
          <w:b w:val="0"/>
          <w:i w:val="0"/>
          <w:color w:val="000000"/>
          <w:sz w:val="22"/>
        </w:rPr>
        <w:t>Распределение по семестрам учитывает типичный семестр ЕПВО, глубину пререквизитов, сложность и вместимость. Constrained-reranking переносит дисциплину ближе к историческому семестру лишь тогда, когда исходный и целевой семестры остаются в диапазоне нагрузки, а все стрелки пререквизитов направлены вперёд.</w:t>
      </w:r>
    </w:p>
    <w:p>
      <w:pPr>
        <w:pStyle w:val="ICESTNormal"/>
        <w:spacing w:before="60" w:after="60"/>
        <w:ind w:firstLine="0"/>
        <w:jc w:val="center"/>
      </w:pPr>
      <w:r>
        <w:rPr>
          <w:rFonts w:ascii="Cambria Math" w:hAnsi="Cambria Math" w:eastAsia="Cambria Math"/>
          <w:b w:val="0"/>
          <w:i/>
          <w:color w:val="000000"/>
          <w:sz w:val="20"/>
        </w:rPr>
        <w:t>R(c_i,o_j) = α cos(g_θ(c_i),g_θ(o_j)) + (1-α) BM25(c_i,o_j)    (1)</w:t>
      </w:r>
    </w:p>
    <w:p>
      <w:pPr>
        <w:pStyle w:val="ICESTNormal"/>
        <w:spacing w:before="60" w:after="60"/>
        <w:ind w:firstLine="0"/>
        <w:jc w:val="center"/>
      </w:pPr>
      <w:r>
        <w:rPr>
          <w:rFonts w:ascii="Cambria Math" w:hAnsi="Cambria Math" w:eastAsia="Cambria Math"/>
          <w:b w:val="0"/>
          <w:i/>
          <w:color w:val="000000"/>
          <w:sz w:val="20"/>
        </w:rPr>
        <w:t>e_ij = max_l [ y_exp(c_i,l) · sim(o_j,l) ],  sim(o_j,l) ≥ τ_e    (2)</w:t>
      </w:r>
    </w:p>
    <w:p>
      <w:pPr>
        <w:pStyle w:val="ICESTNormal"/>
        <w:spacing w:before="60" w:after="60"/>
        <w:ind w:firstLine="0"/>
        <w:jc w:val="center"/>
      </w:pPr>
      <w:r>
        <w:rPr>
          <w:rFonts w:ascii="Cambria Math" w:hAnsi="Cambria Math" w:eastAsia="Cambria Math"/>
          <w:b w:val="0"/>
          <w:i/>
          <w:color w:val="000000"/>
          <w:sz w:val="20"/>
        </w:rPr>
        <w:t>Cov(o_j,P) = 1 - ∏_(c_i∈P) (1-w_ij)    (3)</w:t>
      </w:r>
    </w:p>
    <w:p>
      <w:pPr>
        <w:pStyle w:val="ICESTNormal"/>
        <w:spacing w:before="60" w:after="60"/>
        <w:ind w:firstLine="0"/>
        <w:jc w:val="center"/>
      </w:pPr>
      <w:r>
        <w:rPr>
          <w:rFonts w:ascii="Cambria Math" w:hAnsi="Cambria Math" w:eastAsia="Cambria Math"/>
          <w:b w:val="0"/>
          <w:i/>
          <w:color w:val="000000"/>
          <w:sz w:val="20"/>
        </w:rPr>
        <w:t>P* = arg max_P [λ_1 Cov + λ_2 Rel + λ_3 Div - λ_4 Viol - λ_5 Red]    (4)</w:t>
      </w:r>
    </w:p>
    <w:p>
      <w:pPr>
        <w:pStyle w:val="ICESTNormal"/>
        <w:spacing w:before="60" w:after="60"/>
        <w:ind w:firstLine="0"/>
        <w:jc w:val="center"/>
      </w:pPr>
      <w:r>
        <w:rPr>
          <w:rFonts w:ascii="Cambria Math" w:hAnsi="Cambria Math" w:eastAsia="Cambria Math"/>
          <w:b w:val="0"/>
          <w:i/>
          <w:color w:val="000000"/>
          <w:sz w:val="20"/>
        </w:rPr>
        <w:t>s_i* = arg min_s |s-t_i|,  27 ≤ C_s(P) ≤ 33,  s(pre_i) &lt; s_i    (5)</w:t>
      </w:r>
    </w:p>
    <w:tbl>
      <w:tblPr>
        <w:tblW w:type="auto" w:w="0"/>
        <w:jc w:val="center"/>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747"/>
      </w:tblGrid>
      <w:tr>
        <w:tc>
          <w:tcPr>
            <w:tcW w:type="dxa" w:w="9747"/>
            <w:shd w:fill="F2F2F2"/>
            <w:tcMar>
              <w:top w:w="180" w:type="dxa"/>
              <w:start w:w="160" w:type="dxa"/>
              <w:bottom w:w="180" w:type="dxa"/>
              <w:end w:w="160" w:type="dxa"/>
            </w:tcMar>
          </w:tcPr>
          <w:p>
            <w:pPr>
              <w:jc w:val="center"/>
            </w:pPr>
            <w:r>
              <w:rPr>
                <w:rFonts w:ascii="Times New Roman" w:hAnsi="Times New Roman" w:eastAsia="Times New Roman"/>
                <w:b/>
                <w:i w:val="0"/>
                <w:color w:val="000000"/>
                <w:sz w:val="20"/>
              </w:rPr>
              <w:t>Место для рисунка 1</w:t>
            </w:r>
          </w:p>
        </w:tc>
      </w:tr>
    </w:tbl>
    <w:p>
      <w:pPr>
        <w:pStyle w:val="ICESTNormal"/>
        <w:ind w:firstLine="0"/>
        <w:jc w:val="center"/>
      </w:pPr>
      <w:r>
        <w:rPr>
          <w:rFonts w:ascii="Times New Roman" w:hAnsi="Times New Roman" w:eastAsia="Times New Roman"/>
          <w:b w:val="0"/>
          <w:i/>
          <w:color w:val="000000"/>
          <w:sz w:val="20"/>
        </w:rPr>
        <w:t>Рисунок 1. Сквозная доказательная архитектура.</w:t>
      </w:r>
    </w:p>
    <w:p>
      <w:pPr>
        <w:pStyle w:val="ICESTNormal"/>
        <w:ind w:firstLine="0"/>
        <w:jc w:val="both"/>
      </w:pPr>
      <w:r>
        <w:rPr>
          <w:rFonts w:ascii="Times New Roman" w:hAnsi="Times New Roman" w:eastAsia="Times New Roman"/>
          <w:b/>
          <w:i w:val="0"/>
          <w:color w:val="000000"/>
          <w:sz w:val="16"/>
        </w:rPr>
        <w:t xml:space="preserve">Промпт для генерации изображения (удалить перед подачей): </w:t>
      </w:r>
      <w:r>
        <w:rPr>
          <w:rFonts w:ascii="Times New Roman" w:hAnsi="Times New Roman" w:eastAsia="Times New Roman"/>
          <w:b w:val="0"/>
          <w:i/>
          <w:color w:val="000000"/>
          <w:sz w:val="16"/>
        </w:rPr>
        <w:t>Создай строгую векторную схему для научного журнала на белом фоне: Цель и результаты обучения -&gt; scoped-репозиторий ЕПВО -&gt; multilingual SBERT плюс BM25 -&gt; reranking по экспертной памяти ЕПВО -&gt; граф дисциплин и пререквизитов -&gt; deterministic constrained planner -&gt; независимый verifier -&gt; подтверждение эксперта. PostgreSQL/pgvector обозначить как хранилище происхождения. Палитра navy, teal, green, amber; без роботов, неона и вымышленных метрик; SVG и PNG 300 dpi.</w:t>
      </w:r>
    </w:p>
    <w:p>
      <w:pPr>
        <w:spacing w:before="120" w:after="40"/>
        <w:ind w:firstLine="0"/>
        <w:jc w:val="left"/>
      </w:pPr>
      <w:r>
        <w:rPr>
          <w:rFonts w:ascii="Times New Roman" w:hAnsi="Times New Roman" w:eastAsia="Times New Roman"/>
          <w:b/>
          <w:i w:val="0"/>
          <w:color w:val="000000"/>
          <w:sz w:val="22"/>
        </w:rPr>
        <w:t>4.1. Аудируемый допуск и доменные доказательства</w:t>
      </w:r>
    </w:p>
    <w:p>
      <w:pPr>
        <w:pStyle w:val="ICESTNormal"/>
        <w:spacing w:line="240" w:lineRule="auto" w:after="0"/>
        <w:ind w:firstLine="283"/>
        <w:jc w:val="both"/>
      </w:pPr>
      <w:r>
        <w:rPr>
          <w:rFonts w:ascii="Times New Roman" w:hAnsi="Times New Roman" w:eastAsia="Times New Roman"/>
          <w:b w:val="0"/>
          <w:i w:val="0"/>
          <w:color w:val="000000"/>
          <w:sz w:val="22"/>
        </w:rPr>
        <w:t>Допуск кандидата строже обычного nearest-neighbour поиска. Обозначим I_level, I_scope, I_LO и I_context бинарные проверки уровня образования, направления или группы ЕПВО, минимального доказательства РО и отсутствия чужого профессионального контекста. Дисциплина входит в пул оптимизации только при произведении индикаторов, равном единице. Поэтому магистерский курс робототехники не попадает в бакалавриат, а слово «цифровой» не легализует нерелевантную дисциплину.</w:t>
      </w:r>
    </w:p>
    <w:p>
      <w:pPr>
        <w:pStyle w:val="ICESTNormal"/>
        <w:spacing w:line="240" w:lineRule="auto" w:after="0"/>
        <w:ind w:firstLine="283"/>
        <w:jc w:val="both"/>
      </w:pPr>
      <w:r>
        <w:rPr>
          <w:rFonts w:ascii="Times New Roman" w:hAnsi="Times New Roman" w:eastAsia="Times New Roman"/>
          <w:b w:val="0"/>
          <w:i w:val="0"/>
          <w:color w:val="000000"/>
          <w:sz w:val="22"/>
        </w:rPr>
        <w:t>Дедупликация выполняется до учёта предметных областей. Несколько исходных карточек могут образовать одну каноническую дисциплину, сохранив доказательства разных программ. Доменные оценки агрегируются по всем источникам, а не берутся из последней строки базы. Точное совпадение группы ОП имеет приоритет над направлением; дисциплина с доказательствами обеих областей учитывается как междисциплинарная.</w:t>
      </w:r>
    </w:p>
    <w:p>
      <w:pPr>
        <w:pStyle w:val="ICESTNormal"/>
        <w:spacing w:line="240" w:lineRule="auto" w:after="0"/>
        <w:ind w:firstLine="283"/>
        <w:jc w:val="both"/>
      </w:pPr>
      <w:r>
        <w:rPr>
          <w:rFonts w:ascii="Times New Roman" w:hAnsi="Times New Roman" w:eastAsia="Times New Roman"/>
          <w:b w:val="0"/>
          <w:i w:val="0"/>
          <w:color w:val="000000"/>
          <w:sz w:val="22"/>
        </w:rPr>
        <w:t>Каждая выбранная дисциплина должна поддерживать хотя бы один РО программы. Двухпороговое правило допускает сильное новое доказательство модели или подтверждение достаточно похожей исторической связью ЕПВО. Слабые сигналы видимы эксперту, но не закрывают инвариант реального покрытия. Для защищённых компонентов ГОСО создаются отдельные системные РО без выдачи их за профильные данные ЕПВО.</w:t>
      </w:r>
    </w:p>
    <w:p>
      <w:pPr>
        <w:spacing w:before="120" w:after="40"/>
        <w:ind w:firstLine="0"/>
        <w:jc w:val="left"/>
      </w:pPr>
      <w:r>
        <w:rPr>
          <w:rFonts w:ascii="Times New Roman" w:hAnsi="Times New Roman" w:eastAsia="Times New Roman"/>
          <w:b/>
          <w:i w:val="0"/>
          <w:color w:val="000000"/>
          <w:sz w:val="22"/>
        </w:rPr>
        <w:t>4.2. Точные кредиты, bridge-контроль и нормативное замыкание</w:t>
      </w:r>
    </w:p>
    <w:p>
      <w:pPr>
        <w:pStyle w:val="ICESTNormal"/>
        <w:spacing w:line="240" w:lineRule="auto" w:after="0"/>
        <w:ind w:firstLine="283"/>
        <w:jc w:val="both"/>
      </w:pPr>
      <w:r>
        <w:rPr>
          <w:rFonts w:ascii="Times New Roman" w:hAnsi="Times New Roman" w:eastAsia="Times New Roman"/>
          <w:b w:val="0"/>
          <w:i w:val="0"/>
          <w:color w:val="000000"/>
          <w:sz w:val="22"/>
        </w:rPr>
        <w:t>Реальная дисциплина является атомарной кредитной единицей: её кредиты нельзя незаметно уменьшить или разделить. После вставки защищённого блока ГОСО профильный остаток решается как exact-fit задача. Динамическое программирование сохраняет лучший набор доказательных дисциплин для каждой достижимой суммы и выбирает точный остаток до создания синтетического заполнителя.</w:t>
      </w:r>
    </w:p>
    <w:p>
      <w:pPr>
        <w:pStyle w:val="ICESTNormal"/>
        <w:spacing w:line="240" w:lineRule="auto" w:after="0"/>
        <w:ind w:firstLine="283"/>
        <w:jc w:val="both"/>
      </w:pPr>
      <w:r>
        <w:rPr>
          <w:rFonts w:ascii="Times New Roman" w:hAnsi="Times New Roman" w:eastAsia="Times New Roman"/>
          <w:b w:val="0"/>
          <w:i w:val="0"/>
          <w:color w:val="000000"/>
          <w:sz w:val="22"/>
        </w:rPr>
        <w:t>Bridge-модуль допустим как действительно новое содержание на стыке областей либо как закрытие РО, для которого нет сильной реальной дисциплины. Пустой «компонент по выбору» не считается дисциплиной. Сервис замены показывает три реальных варианта, их описание, кредиты, уровень, AI/EPVO evidence и пререквизиты; выбор эксперта сохраняется для следующей генерации.</w:t>
      </w:r>
    </w:p>
    <w:p>
      <w:pPr>
        <w:pStyle w:val="ICESTNormal"/>
        <w:spacing w:line="240" w:lineRule="auto" w:after="0"/>
        <w:ind w:firstLine="283"/>
        <w:jc w:val="both"/>
      </w:pPr>
      <w:r>
        <w:rPr>
          <w:rFonts w:ascii="Times New Roman" w:hAnsi="Times New Roman" w:eastAsia="Times New Roman"/>
          <w:b w:val="0"/>
          <w:i w:val="0"/>
          <w:color w:val="000000"/>
          <w:sz w:val="22"/>
        </w:rPr>
        <w:t>Нормативное замыкание зависит от режима и уровня. Международная программа не получает казахстанские обязательные дисциплины. Режим ГОСО добавляет только применимые компоненты бакалавриата, магистратуры или докторантуры, включая практики, НИР и итоговую аттестацию с заданными кредитами. Они защищены от удаления и случайной мутации между A/B/C.</w:t>
      </w:r>
    </w:p>
    <w:p>
      <w:pPr>
        <w:spacing w:before="120" w:after="40"/>
        <w:ind w:firstLine="0"/>
        <w:jc w:val="left"/>
      </w:pPr>
      <w:r>
        <w:rPr>
          <w:rFonts w:ascii="Times New Roman" w:hAnsi="Times New Roman" w:eastAsia="Times New Roman"/>
          <w:b/>
          <w:i w:val="0"/>
          <w:color w:val="000000"/>
          <w:sz w:val="22"/>
        </w:rPr>
        <w:t>4.3. Граф знаний, semester-repair и транзакция A/B/C</w:t>
      </w:r>
    </w:p>
    <w:p>
      <w:pPr>
        <w:pStyle w:val="ICESTNormal"/>
        <w:spacing w:line="240" w:lineRule="auto" w:after="0"/>
        <w:ind w:firstLine="283"/>
        <w:jc w:val="both"/>
      </w:pPr>
      <w:r>
        <w:rPr>
          <w:rFonts w:ascii="Times New Roman" w:hAnsi="Times New Roman" w:eastAsia="Times New Roman"/>
          <w:b w:val="0"/>
          <w:i w:val="0"/>
          <w:color w:val="000000"/>
          <w:sz w:val="22"/>
        </w:rPr>
        <w:t>Граф содержит дисциплины, РО, пререквизиты, постреквизиты, предметные области и семестры. Явные связи репозитория дополняются осторожно выведенными зависимостями «основа - продвинутый курс». После repair граф обязан быть ацикличным. Для каждого ребра c_a -&gt; c_b verifier требует semester(c_a) &lt; semester(c_b), кроме отдельно классифицированных параллельных нормативных активностей.</w:t>
      </w:r>
    </w:p>
    <w:p>
      <w:pPr>
        <w:pStyle w:val="ICESTNormal"/>
        <w:spacing w:line="240" w:lineRule="auto" w:after="0"/>
        <w:ind w:firstLine="283"/>
        <w:jc w:val="both"/>
      </w:pPr>
      <w:r>
        <w:rPr>
          <w:rFonts w:ascii="Times New Roman" w:hAnsi="Times New Roman" w:eastAsia="Times New Roman"/>
          <w:b w:val="0"/>
          <w:i w:val="0"/>
          <w:color w:val="000000"/>
          <w:sz w:val="22"/>
        </w:rPr>
        <w:t>Semester-repair использует ограниченные переносы и обмены целых дисциплин. Сначала устраняются жёсткие нарушения, затем улучшается педагогический порядок и историческая близость. Продвинутый клинический, кибербезопасностный или исследовательский курс не переносится в первый фундаментальный семестр. Вводные дисциплины получают верхнюю границу, чтобы единичная аномальная карточка ЕПВО не отправляла их в выпускной год.</w:t>
      </w:r>
    </w:p>
    <w:p>
      <w:pPr>
        <w:pStyle w:val="ICESTNormal"/>
        <w:spacing w:line="240" w:lineRule="auto" w:after="0"/>
        <w:ind w:firstLine="283"/>
        <w:jc w:val="both"/>
      </w:pPr>
      <w:r>
        <w:rPr>
          <w:rFonts w:ascii="Times New Roman" w:hAnsi="Times New Roman" w:eastAsia="Times New Roman"/>
          <w:b w:val="0"/>
          <w:i w:val="0"/>
          <w:color w:val="000000"/>
          <w:sz w:val="22"/>
        </w:rPr>
        <w:t>A/B/C различаются весами ranking и выбором кандидатов при общем нормативном ядре. Fingerprint и pairwise Jaccard проверяют реальное различие. Все запрошенные варианты строятся и проверяются до единого atomic commit. При ошибке старые активные планы сохраняются, а пользователь может активировать любой успешный вариант.</w:t>
      </w:r>
    </w:p>
    <w:p>
      <w:pPr>
        <w:spacing w:before="120" w:after="40"/>
        <w:ind w:firstLine="0"/>
        <w:jc w:val="left"/>
      </w:pPr>
      <w:r>
        <w:rPr>
          <w:rFonts w:ascii="Times New Roman" w:hAnsi="Times New Roman" w:eastAsia="Times New Roman"/>
          <w:b/>
          <w:i w:val="0"/>
          <w:color w:val="000000"/>
          <w:sz w:val="22"/>
        </w:rPr>
        <w:t>4.4. Формальная целевая функция и независимый verifier</w:t>
      </w:r>
    </w:p>
    <w:p>
      <w:pPr>
        <w:pStyle w:val="ICESTNormal"/>
        <w:spacing w:line="240" w:lineRule="auto" w:after="0"/>
        <w:ind w:firstLine="283"/>
        <w:jc w:val="both"/>
      </w:pPr>
      <w:r>
        <w:rPr>
          <w:rFonts w:ascii="Times New Roman" w:hAnsi="Times New Roman" w:eastAsia="Times New Roman"/>
          <w:b w:val="0"/>
          <w:i w:val="0"/>
          <w:color w:val="000000"/>
          <w:sz w:val="22"/>
        </w:rPr>
        <w:t>Пусть x_i показывает включение дисциплины c_i, а z_is - назначение в семестр s. Планировщик максимизирует взвешенную функцию вероятностного покрытия РО, доменной релевантности, экспертного доказательства, разнообразия и исторической близости семестра. Штрафуются дубли, кредитное отклонение, дефицит квот, число bridge и сложность графа. Разные веса формируют A/B/C, но не ослабляют жёсткие ограничения.</w:t>
      </w:r>
    </w:p>
    <w:p>
      <w:pPr>
        <w:pStyle w:val="ICESTNormal"/>
        <w:spacing w:line="240" w:lineRule="auto" w:after="0"/>
        <w:ind w:firstLine="283"/>
        <w:jc w:val="both"/>
      </w:pPr>
      <w:r>
        <w:rPr>
          <w:rFonts w:ascii="Times New Roman" w:hAnsi="Times New Roman" w:eastAsia="Times New Roman"/>
          <w:b w:val="0"/>
          <w:i w:val="0"/>
          <w:color w:val="000000"/>
          <w:sz w:val="22"/>
        </w:rPr>
        <w:t>Ограничения требуют назначения каждой выбранной дисциплины ровно в один семестр, соблюдения итоговых кредитов и допустимой нагрузки, предшествования каждого пререквизита, выполнения квот областей и реального доказательства каждого профессионального РО. Level guard и ГОСО являются булевыми условиями допуска.</w:t>
      </w:r>
    </w:p>
    <w:p>
      <w:pPr>
        <w:pStyle w:val="ICESTNormal"/>
        <w:spacing w:line="240" w:lineRule="auto" w:after="0"/>
        <w:ind w:firstLine="283"/>
        <w:jc w:val="both"/>
      </w:pPr>
      <w:r>
        <w:rPr>
          <w:rFonts w:ascii="Times New Roman" w:hAnsi="Times New Roman" w:eastAsia="Times New Roman"/>
          <w:b w:val="0"/>
          <w:i w:val="0"/>
          <w:color w:val="000000"/>
          <w:sz w:val="22"/>
        </w:rPr>
        <w:t>Verifier пересчитывает свойства из сохранённого плана. Feasibility V(P)=1 только при одновременном выполнении предикатов кредитов, нагрузки, пререквизитов, уровня, отсутствия дубликатов, квот, LO-evidence и ГОСО. Это не позволяет оптимизатору объявить успех по устаревшему промежуточному состоянию. Международный score не может перекрыть провал жёсткого условия.</w:t>
      </w:r>
    </w:p>
    <w:p>
      <w:pPr>
        <w:pStyle w:val="ICESTNormal"/>
        <w:spacing w:line="240" w:lineRule="auto" w:after="0"/>
        <w:ind w:firstLine="283"/>
        <w:jc w:val="both"/>
      </w:pPr>
      <w:r>
        <w:rPr>
          <w:rFonts w:ascii="Times New Roman" w:hAnsi="Times New Roman" w:eastAsia="Times New Roman"/>
          <w:b w:val="0"/>
          <w:i w:val="0"/>
          <w:color w:val="000000"/>
          <w:sz w:val="22"/>
        </w:rPr>
        <w:t>Покрытие РО вероятностное, а не простая сумма дисциплин. Несколько средних доказательств усиливают результат, оставаясь в диапазоне до единицы. Поэтому система не показывает 300% покрытия и не считает одну слабую связь полноценным достижением. Интерфейс раскрывает дисциплины-источники для академической проверки.</w:t>
      </w:r>
    </w:p>
    <w:p>
      <w:pPr>
        <w:spacing w:before="120" w:after="40"/>
        <w:ind w:firstLine="0"/>
        <w:jc w:val="left"/>
      </w:pPr>
      <w:r>
        <w:rPr>
          <w:rFonts w:ascii="Times New Roman" w:hAnsi="Times New Roman" w:eastAsia="Times New Roman"/>
          <w:b/>
          <w:i w:val="0"/>
          <w:color w:val="000000"/>
          <w:sz w:val="22"/>
        </w:rPr>
        <w:t>5. Дизайн эксперимента</w:t>
      </w:r>
    </w:p>
    <w:p>
      <w:pPr>
        <w:pStyle w:val="ICESTNormal"/>
        <w:spacing w:line="240" w:lineRule="auto" w:after="0"/>
        <w:ind w:firstLine="283"/>
        <w:jc w:val="both"/>
      </w:pPr>
      <w:r>
        <w:rPr>
          <w:rFonts w:ascii="Times New Roman" w:hAnsi="Times New Roman" w:eastAsia="Times New Roman"/>
          <w:b w:val="0"/>
          <w:i w:val="0"/>
          <w:color w:val="000000"/>
          <w:sz w:val="22"/>
        </w:rPr>
        <w:t>Классификация связи оценивается ROC-AUC, PR-AUC и F1. Retrieval оценивается Recall@K, MRR и nDCG@K. На уровне полного плана проверяются точные кредиты, нагрузка, пререквизиты, уровень образования, дубликаты, квоты областей, реальное покрытие РО и защищённые нормативные компоненты.</w:t>
      </w:r>
    </w:p>
    <w:p>
      <w:pPr>
        <w:pStyle w:val="ICESTNormal"/>
        <w:spacing w:line="240" w:lineRule="auto" w:after="0"/>
        <w:ind w:firstLine="283"/>
        <w:jc w:val="both"/>
      </w:pPr>
      <w:r>
        <w:rPr>
          <w:rFonts w:ascii="Times New Roman" w:hAnsi="Times New Roman" w:eastAsia="Times New Roman"/>
          <w:b w:val="0"/>
          <w:i w:val="0"/>
          <w:color w:val="000000"/>
          <w:sz w:val="22"/>
        </w:rPr>
        <w:t>Для сравнения отобраны шесть quality-eligible программ: проекты 13, 15 и 16 без ГОСО; проекты 19, 136 и 137 с защищёнными компонентами ГОСО. Проект 135 является заранее заданным отрицательным stress-test и исключён до агрегации. В обеих группах по три программы, используется один validator и допуск ±1 семестр.</w:t>
      </w:r>
    </w:p>
    <w:p>
      <w:pPr>
        <w:pStyle w:val="ICESTNormal"/>
        <w:spacing w:line="240" w:lineRule="auto" w:after="0"/>
        <w:ind w:firstLine="283"/>
        <w:jc w:val="both"/>
      </w:pPr>
      <w:r>
        <w:rPr>
          <w:rFonts w:ascii="Times New Roman" w:hAnsi="Times New Roman" w:eastAsia="Times New Roman"/>
          <w:b w:val="0"/>
          <w:i w:val="0"/>
          <w:color w:val="000000"/>
          <w:sz w:val="22"/>
        </w:rPr>
        <w:t>ГОСО - государственный общеобязательный стандарт образования Республики Казахстан. Он задаёт защищённое нормативное ядро: обязательные компоненты, практики, научно-исследовательскую работу и итоговую аттестацию в зависимости от уровня образования. Их нельзя заменить только ради роста семантического процента. Поэтому полное происхождение ЕПВО и свобода перемещения по семестрам ожидаемо ниже, а профильные метрики показываются отдельно.</w:t>
      </w:r>
    </w:p>
    <w:p>
      <w:pPr>
        <w:pStyle w:val="ICESTNormal"/>
        <w:spacing w:before="60" w:after="60"/>
        <w:ind w:firstLine="0"/>
        <w:jc w:val="center"/>
      </w:pPr>
      <w:r>
        <w:rPr>
          <w:rFonts w:ascii="Cambria Math" w:hAnsi="Cambria Math" w:eastAsia="Cambria Math"/>
          <w:b w:val="0"/>
          <w:i/>
          <w:color w:val="000000"/>
          <w:sz w:val="20"/>
        </w:rPr>
        <w:t>Recall@K = |Rel(q) ∩ TopK(q)| / |Rel(q)|    (6)</w:t>
      </w:r>
    </w:p>
    <w:p>
      <w:pPr>
        <w:pStyle w:val="ICESTNormal"/>
        <w:spacing w:before="60" w:after="60"/>
        <w:ind w:firstLine="0"/>
        <w:jc w:val="center"/>
      </w:pPr>
      <w:r>
        <w:rPr>
          <w:rFonts w:ascii="Cambria Math" w:hAnsi="Cambria Math" w:eastAsia="Cambria Math"/>
          <w:b w:val="0"/>
          <w:i/>
          <w:color w:val="000000"/>
          <w:sz w:val="20"/>
        </w:rPr>
        <w:t>MRR = (1/|Q|) Σ_(q∈Q) 1/rank_q    (7)</w:t>
      </w:r>
    </w:p>
    <w:p>
      <w:pPr>
        <w:pStyle w:val="ICESTNormal"/>
        <w:spacing w:before="60" w:after="60"/>
        <w:ind w:firstLine="0"/>
        <w:jc w:val="center"/>
      </w:pPr>
      <w:r>
        <w:rPr>
          <w:rFonts w:ascii="Cambria Math" w:hAnsi="Cambria Math" w:eastAsia="Cambria Math"/>
          <w:b w:val="0"/>
          <w:i/>
          <w:color w:val="000000"/>
          <w:sz w:val="20"/>
        </w:rPr>
        <w:t>nDCG@K = DCG@K / IDCG@K    (8)</w:t>
      </w:r>
    </w:p>
    <w:p>
      <w:pPr>
        <w:spacing w:before="120" w:after="40"/>
        <w:ind w:firstLine="0"/>
        <w:jc w:val="left"/>
      </w:pPr>
      <w:r>
        <w:rPr>
          <w:rFonts w:ascii="Times New Roman" w:hAnsi="Times New Roman" w:eastAsia="Times New Roman"/>
          <w:b/>
          <w:i w:val="0"/>
          <w:color w:val="000000"/>
          <w:sz w:val="22"/>
        </w:rPr>
        <w:t>6. Результаты</w:t>
      </w:r>
    </w:p>
    <w:p>
      <w:pPr>
        <w:pStyle w:val="ICESTNormal"/>
        <w:spacing w:line="240" w:lineRule="auto" w:after="0"/>
        <w:ind w:firstLine="283"/>
        <w:jc w:val="both"/>
      </w:pPr>
      <w:r>
        <w:rPr>
          <w:rFonts w:ascii="Times New Roman" w:hAnsi="Times New Roman" w:eastAsia="Times New Roman"/>
          <w:b w:val="0"/>
          <w:i w:val="0"/>
          <w:color w:val="000000"/>
          <w:sz w:val="22"/>
        </w:rPr>
        <w:t>Исходная multilingual SBERT получила ROC-AUC 0,7031, PR-AUC 0,6946 и F1 0,6886. Дообучение на 40 000 парах ЕПВО повысило результаты до 0,7666, 0,7681 и 0,7188. Cached-кандидат 12k достиг 0,7748, 0,7746 и 0,7268, но сохранён как экспериментальный кандидат. Модель ranking-loss получила Recall@10 0,7071, MRR 0,7815 и nDCG@10 0,6923.</w:t>
      </w:r>
    </w:p>
    <w:p>
      <w:pPr>
        <w:pStyle w:val="ICESTNormal"/>
        <w:spacing w:line="240" w:lineRule="auto" w:after="0"/>
        <w:ind w:firstLine="283"/>
        <w:jc w:val="both"/>
      </w:pPr>
      <w:r>
        <w:rPr>
          <w:rFonts w:ascii="Times New Roman" w:hAnsi="Times New Roman" w:eastAsia="Times New Roman"/>
          <w:b w:val="0"/>
          <w:i w:val="0"/>
          <w:color w:val="000000"/>
          <w:sz w:val="22"/>
        </w:rPr>
        <w:t>Комбинация SBERT с глобальной и scoped-памятью экспертов на independent clean-v2 split повысила Recall@10 с 0,5348 до 0,5657, Recall@20 с 0,7476 до 0,7580, MRR с 0,2898 до 0,3740 и nDCG@10 с 0,3163 до 0,3735. Результат сохранился при расширении памяти с 64 до 128 кандидатов. Рабочая production-модель этим экспериментом не заменялась.</w:t>
      </w:r>
    </w:p>
    <w:p>
      <w:pPr>
        <w:pStyle w:val="ICESTNormal"/>
        <w:spacing w:line="240" w:lineRule="auto" w:after="0"/>
        <w:ind w:firstLine="283"/>
        <w:jc w:val="both"/>
      </w:pPr>
      <w:r>
        <w:rPr>
          <w:rFonts w:ascii="Times New Roman" w:hAnsi="Times New Roman" w:eastAsia="Times New Roman"/>
          <w:b w:val="0"/>
          <w:i w:val="0"/>
          <w:color w:val="000000"/>
          <w:sz w:val="22"/>
        </w:rPr>
        <w:t>Без ГОСО семантически скорректированное соответствие семестру достигло 86,84%, с ГОСО - 81,23%. Разница 5,61 процентного пункта связана с меньшей свободой планирования: в трёх программах ГОСО присутствуют 35 защищённых компонентов. Сырая разница равна 13,75 пункта, но уменьшается после учёта пререквизитов и педагогической сложности. Обе группы получили 100% профильного происхождения из ЕПВО, 100% международного чек-листа и ноль жёстких нарушений.</w:t>
      </w:r>
    </w:p>
    <w:p>
      <w:pPr>
        <w:pStyle w:val="ICESTNormal"/>
        <w:spacing w:line="240" w:lineRule="auto" w:after="0"/>
        <w:ind w:firstLine="283"/>
        <w:jc w:val="both"/>
      </w:pPr>
      <w:r>
        <w:rPr>
          <w:rFonts w:ascii="Times New Roman" w:hAnsi="Times New Roman" w:eastAsia="Times New Roman"/>
          <w:b w:val="0"/>
          <w:i w:val="0"/>
          <w:color w:val="000000"/>
          <w:sz w:val="22"/>
        </w:rPr>
        <w:t>По всем шести пригодным программам сырое соответствие семестру составило 76,82%, с учётом пререквизитов - 80,42%, с учётом семантических границ - 84,03%. Constrained-feasibility сохраняется отдельной диагностикой. На проекте 137 она составила 100%: оставшиеся прямые переносы нарушали бы диапазон 27-33 кредита. Это не означает буквальное совпадение каждого исторического семестра.</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949"/>
        <w:gridCol w:w="1949"/>
        <w:gridCol w:w="1949"/>
        <w:gridCol w:w="1949"/>
        <w:gridCol w:w="1949"/>
      </w:tblGrid>
      <w:tr>
        <w:trPr>
          <w:tblHeader w:val="true"/>
        </w:trPr>
        <w:tc>
          <w:tcPr>
            <w:tcW w:type="dxa" w:w="1949"/>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Модель</w:t>
            </w:r>
          </w:p>
        </w:tc>
        <w:tc>
          <w:tcPr>
            <w:tcW w:type="dxa" w:w="1949"/>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ROC-AUC</w:t>
            </w:r>
          </w:p>
        </w:tc>
        <w:tc>
          <w:tcPr>
            <w:tcW w:type="dxa" w:w="1949"/>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PR-AUC</w:t>
            </w:r>
          </w:p>
        </w:tc>
        <w:tc>
          <w:tcPr>
            <w:tcW w:type="dxa" w:w="1949"/>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F1</w:t>
            </w:r>
          </w:p>
        </w:tc>
        <w:tc>
          <w:tcPr>
            <w:tcW w:type="dxa" w:w="1949"/>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Статус</w:t>
            </w:r>
          </w:p>
        </w:tc>
      </w:tr>
      <w:tr>
        <w:tc>
          <w:tcPr>
            <w:tcW w:type="dxa" w:w="1949"/>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Base multilingual SBERT</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0.7031</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0.6946</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0.6886</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w:t>
            </w:r>
          </w:p>
        </w:tc>
      </w:tr>
      <w:tr>
        <w:tc>
          <w:tcPr>
            <w:tcW w:type="dxa" w:w="1949"/>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Fine-tuned SBERT 40k</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0.7666</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0.7681</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0.7188</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operational</w:t>
            </w:r>
          </w:p>
        </w:tc>
      </w:tr>
      <w:tr>
        <w:tc>
          <w:tcPr>
            <w:tcW w:type="dxa" w:w="1949"/>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Cached candidate 12k</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0.7748</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0.7746</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0.7268</w:t>
            </w:r>
          </w:p>
        </w:tc>
        <w:tc>
          <w:tcPr>
            <w:tcW w:type="dxa" w:w="1949"/>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experimental</w:t>
            </w:r>
          </w:p>
        </w:tc>
      </w:tr>
    </w:tbl>
    <w:p>
      <w:pPr>
        <w:pStyle w:val="ICESTNormal"/>
        <w:ind w:firstLine="0"/>
        <w:jc w:val="center"/>
      </w:pPr>
      <w:r>
        <w:rPr>
          <w:rFonts w:ascii="Times New Roman" w:hAnsi="Times New Roman" w:eastAsia="Times New Roman"/>
          <w:b w:val="0"/>
          <w:i/>
          <w:color w:val="000000"/>
          <w:sz w:val="20"/>
        </w:rPr>
        <w:t>Таблица 2. Классификация связей дисциплина-результат обучения.</w:t>
      </w:r>
    </w:p>
    <w:tbl>
      <w:tblPr>
        <w:tblW w:type="auto" w:w="0"/>
        <w:jc w:val="center"/>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37"/>
        <w:gridCol w:w="2437"/>
        <w:gridCol w:w="2437"/>
        <w:gridCol w:w="2437"/>
      </w:tblGrid>
      <w:tr>
        <w:trPr>
          <w:tblHeader w:val="true"/>
        </w:trPr>
        <w:tc>
          <w:tcPr>
            <w:tcW w:type="dxa" w:w="2437"/>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Метрика</w:t>
            </w:r>
          </w:p>
        </w:tc>
        <w:tc>
          <w:tcPr>
            <w:tcW w:type="dxa" w:w="2437"/>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Без ГОСО</w:t>
            </w:r>
          </w:p>
        </w:tc>
        <w:tc>
          <w:tcPr>
            <w:tcW w:type="dxa" w:w="2437"/>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С ГОСО</w:t>
            </w:r>
          </w:p>
        </w:tc>
        <w:tc>
          <w:tcPr>
            <w:tcW w:type="dxa" w:w="2437"/>
            <w:vAlign w:val="center"/>
            <w:shd w:fill="D9EAF7"/>
            <w:tcMar>
              <w:top w:w="70" w:type="dxa"/>
              <w:start w:w="90" w:type="dxa"/>
              <w:bottom w:w="70" w:type="dxa"/>
              <w:end w:w="90" w:type="dxa"/>
            </w:tcMar>
          </w:tcPr>
          <w:p>
            <w:pPr>
              <w:jc w:val="center"/>
            </w:pPr>
            <w:r>
              <w:rPr>
                <w:rFonts w:ascii="Times New Roman" w:hAnsi="Times New Roman" w:eastAsia="Times New Roman"/>
                <w:b/>
                <w:i w:val="0"/>
                <w:color w:val="000000"/>
                <w:sz w:val="16"/>
              </w:rPr>
              <w:t>Разница</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Программы</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3</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3</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Полное происхождение ЕПВО</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100.00%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61.36%</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+38,64 п.п.</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Профильное происхождение без нормативного блока</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100.00%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100.00%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0,00 п.п.</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Сырое соответствие семестру, ±1</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83.70%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69.95%</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+13,75 п.п.</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С учётом пререквизитов</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85.15%</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75.70%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+9,45 п.п.</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С учётом педагогической сложности</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86.84%</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81.23%</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+5,61 п.п.</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Международный чек-лист</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100.00%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100.00%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0,00 п.п.</w:t>
            </w:r>
          </w:p>
        </w:tc>
      </w:tr>
      <w:tr>
        <w:tc>
          <w:tcPr>
            <w:tcW w:type="dxa" w:w="2437"/>
            <w:vAlign w:val="center"/>
            <w:tcMar>
              <w:top w:w="70" w:type="dxa"/>
              <w:start w:w="90" w:type="dxa"/>
              <w:bottom w:w="70" w:type="dxa"/>
              <w:end w:w="90" w:type="dxa"/>
            </w:tcMar>
          </w:tcPr>
          <w:p>
            <w:pPr>
              <w:jc w:val="left"/>
            </w:pPr>
            <w:r>
              <w:rPr>
                <w:rFonts w:ascii="Times New Roman" w:hAnsi="Times New Roman" w:eastAsia="Times New Roman"/>
                <w:b w:val="0"/>
                <w:i w:val="0"/>
                <w:color w:val="000000"/>
                <w:sz w:val="16"/>
              </w:rPr>
              <w:t>Жёсткие нарушения</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w:t>
            </w:r>
          </w:p>
        </w:tc>
        <w:tc>
          <w:tcPr>
            <w:tcW w:type="dxa" w:w="2437"/>
            <w:vAlign w:val="center"/>
            <w:tcMar>
              <w:top w:w="70" w:type="dxa"/>
              <w:start w:w="90" w:type="dxa"/>
              <w:bottom w:w="70" w:type="dxa"/>
              <w:end w:w="90" w:type="dxa"/>
            </w:tcMar>
          </w:tcPr>
          <w:p>
            <w:pPr>
              <w:jc w:val="center"/>
            </w:pPr>
            <w:r>
              <w:rPr>
                <w:rFonts w:ascii="Times New Roman" w:hAnsi="Times New Roman" w:eastAsia="Times New Roman"/>
                <w:b w:val="0"/>
                <w:i w:val="0"/>
                <w:color w:val="000000"/>
                <w:sz w:val="16"/>
              </w:rPr>
              <w:t>0</w:t>
            </w:r>
          </w:p>
        </w:tc>
      </w:tr>
    </w:tbl>
    <w:p>
      <w:pPr>
        <w:pStyle w:val="ICESTNormal"/>
        <w:ind w:firstLine="0"/>
        <w:jc w:val="center"/>
      </w:pPr>
      <w:r>
        <w:rPr>
          <w:rFonts w:ascii="Times New Roman" w:hAnsi="Times New Roman" w:eastAsia="Times New Roman"/>
          <w:b w:val="0"/>
          <w:i/>
          <w:color w:val="000000"/>
          <w:sz w:val="20"/>
        </w:rPr>
        <w:t>Таблица 3. Сравнение свежих планов с ГОСО РК и без него.</w:t>
      </w:r>
    </w:p>
    <w:tbl>
      <w:tblPr>
        <w:tblW w:type="auto" w:w="0"/>
        <w:jc w:val="center"/>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9747"/>
      </w:tblGrid>
      <w:tr>
        <w:tc>
          <w:tcPr>
            <w:tcW w:type="dxa" w:w="9747"/>
            <w:shd w:fill="F2F2F2"/>
            <w:tcMar>
              <w:top w:w="180" w:type="dxa"/>
              <w:start w:w="160" w:type="dxa"/>
              <w:bottom w:w="180" w:type="dxa"/>
              <w:end w:w="160" w:type="dxa"/>
            </w:tcMar>
          </w:tcPr>
          <w:p>
            <w:pPr>
              <w:jc w:val="center"/>
            </w:pPr>
            <w:r>
              <w:rPr>
                <w:rFonts w:ascii="Times New Roman" w:hAnsi="Times New Roman" w:eastAsia="Times New Roman"/>
                <w:b/>
                <w:i w:val="0"/>
                <w:color w:val="000000"/>
                <w:sz w:val="20"/>
              </w:rPr>
              <w:t>Место для рисунка 3</w:t>
            </w:r>
          </w:p>
        </w:tc>
      </w:tr>
    </w:tbl>
    <w:p>
      <w:pPr>
        <w:pStyle w:val="ICESTNormal"/>
        <w:ind w:firstLine="0"/>
        <w:jc w:val="center"/>
      </w:pPr>
      <w:r>
        <w:rPr>
          <w:rFonts w:ascii="Times New Roman" w:hAnsi="Times New Roman" w:eastAsia="Times New Roman"/>
          <w:b w:val="0"/>
          <w:i/>
          <w:color w:val="000000"/>
          <w:sz w:val="20"/>
        </w:rPr>
        <w:t>Рисунок 3. Влияние защищённого ядра ГОСО РК на соответствие семестру.</w:t>
      </w:r>
    </w:p>
    <w:p>
      <w:pPr>
        <w:pStyle w:val="ICESTNormal"/>
        <w:ind w:firstLine="0"/>
        <w:jc w:val="both"/>
      </w:pPr>
      <w:r>
        <w:rPr>
          <w:rFonts w:ascii="Times New Roman" w:hAnsi="Times New Roman" w:eastAsia="Times New Roman"/>
          <w:b/>
          <w:i w:val="0"/>
          <w:color w:val="000000"/>
          <w:sz w:val="16"/>
        </w:rPr>
        <w:t xml:space="preserve">Промпт для генерации изображения (удалить перед подачей): </w:t>
      </w:r>
      <w:r>
        <w:rPr>
          <w:rFonts w:ascii="Times New Roman" w:hAnsi="Times New Roman" w:eastAsia="Times New Roman"/>
          <w:b w:val="0"/>
          <w:i/>
          <w:color w:val="000000"/>
          <w:sz w:val="16"/>
        </w:rPr>
        <w:t>Создай сравнительную иллюстрацию уровня Q2 с двумя дорожками. Без ГОСО: semantic-adjusted 86,84%, профильное происхождение 100%, жёсткие нарушения 0. С ГОСО: 35 защищённых нормативных компонентов в трёх планах, semantic-adjusted 81,23%, профильное происхождение после исключения нормативного блока 100%, нарушения 0. Показать диапазон 27-33 кредита и направленные вперёд пререквизиты. Пояснить, что разница 5,61 п.п. вызвана меньшей свободой планирования, а не снижением качества профильных дисциплин. Белый фон, синий/зелёный/янтарный, SVG.</w:t>
      </w:r>
    </w:p>
    <w:p>
      <w:pPr>
        <w:spacing w:before="120" w:after="40"/>
        <w:ind w:firstLine="0"/>
        <w:jc w:val="left"/>
      </w:pPr>
      <w:r>
        <w:rPr>
          <w:rFonts w:ascii="Times New Roman" w:hAnsi="Times New Roman" w:eastAsia="Times New Roman"/>
          <w:b/>
          <w:i w:val="0"/>
          <w:color w:val="000000"/>
          <w:sz w:val="22"/>
        </w:rPr>
        <w:t>6.1. Сквозные контрольные программы и ablation</w:t>
      </w:r>
    </w:p>
    <w:p>
      <w:pPr>
        <w:pStyle w:val="ICESTNormal"/>
        <w:spacing w:line="240" w:lineRule="auto" w:after="0"/>
        <w:ind w:firstLine="283"/>
        <w:jc w:val="both"/>
      </w:pPr>
      <w:r>
        <w:rPr>
          <w:rFonts w:ascii="Times New Roman" w:hAnsi="Times New Roman" w:eastAsia="Times New Roman"/>
          <w:b w:val="0"/>
          <w:i w:val="0"/>
          <w:color w:val="000000"/>
          <w:sz w:val="22"/>
        </w:rPr>
        <w:t>Контроль включает обычные и междисциплинарные программы бакалавриата, магистратуру и докторантуру. Свежая генерация дала точные объёмы 240, 120 и 180 кредитов. Планы прошли проверки пререквизитов, уровня, дубликатов, целостности кредитов, чужого контекста и ГОСО. Международный чек-лист равен 100% для шести quality-eligible программ; заранее заданный отрицательный контроль не включён в среднее.</w:t>
      </w:r>
    </w:p>
    <w:p>
      <w:pPr>
        <w:pStyle w:val="ICESTNormal"/>
        <w:spacing w:line="240" w:lineRule="auto" w:after="0"/>
        <w:ind w:firstLine="283"/>
        <w:jc w:val="both"/>
      </w:pPr>
      <w:r>
        <w:rPr>
          <w:rFonts w:ascii="Times New Roman" w:hAnsi="Times New Roman" w:eastAsia="Times New Roman"/>
          <w:b w:val="0"/>
          <w:i w:val="0"/>
          <w:color w:val="000000"/>
          <w:sz w:val="22"/>
        </w:rPr>
        <w:t>Ablation показывает вклад защитных механизмов. В программе «Киберследователь» level guard удалил дисциплины чужого уровня, финальный LO-repair обеспечил реальное покрытие профессиональных РО, context guard убрал нерелевантные курсы со случайным цифровым термином. В IT-медицине real-course-first правило выбрало допустимую дисциплину ЕПВО вместо общего заполнителя и сократило bridge.</w:t>
      </w:r>
    </w:p>
    <w:p>
      <w:pPr>
        <w:pStyle w:val="ICESTNormal"/>
        <w:spacing w:line="240" w:lineRule="auto" w:after="0"/>
        <w:ind w:firstLine="283"/>
        <w:jc w:val="both"/>
      </w:pPr>
      <w:r>
        <w:rPr>
          <w:rFonts w:ascii="Times New Roman" w:hAnsi="Times New Roman" w:eastAsia="Times New Roman"/>
          <w:b w:val="0"/>
          <w:i w:val="0"/>
          <w:color w:val="000000"/>
          <w:sz w:val="22"/>
        </w:rPr>
        <w:t>Докторская программа D094 демонстрирует exact-fit после крупного нормативного блока. Планировщик сохранил практики, НИР и аттестацию, затем набрал точный профильный остаток реальными дисциплинами. Bridge-heavy варианты были заменены доказательными курсами при 180 кредитах и нуле жёстких нарушений. Сырая provenance здесь ожидаемо ниже из-за нормативных кредитов.</w:t>
      </w:r>
    </w:p>
    <w:p>
      <w:pPr>
        <w:pStyle w:val="ICESTNormal"/>
        <w:spacing w:line="240" w:lineRule="auto" w:after="0"/>
        <w:ind w:firstLine="283"/>
        <w:jc w:val="both"/>
      </w:pPr>
      <w:r>
        <w:rPr>
          <w:rFonts w:ascii="Times New Roman" w:hAnsi="Times New Roman" w:eastAsia="Times New Roman"/>
          <w:b w:val="0"/>
          <w:i w:val="0"/>
          <w:color w:val="000000"/>
          <w:sz w:val="22"/>
        </w:rPr>
        <w:t>Проверено и разнообразие A/B/C. Обязательные компоненты совпадают, но профильный состав и ranking-приоритеты различаются. Транзакционные fingerprints запрещают публикацию одинаковых альтернатив. При выборе одной программы система не тратит время на две неиспользуемые, но позволяет достроить их позднее из тех же ограничений проекта.</w:t>
      </w:r>
    </w:p>
    <w:p>
      <w:pPr>
        <w:spacing w:before="120" w:after="40"/>
        <w:ind w:firstLine="0"/>
        <w:jc w:val="left"/>
      </w:pPr>
      <w:r>
        <w:rPr>
          <w:rFonts w:ascii="Times New Roman" w:hAnsi="Times New Roman" w:eastAsia="Times New Roman"/>
          <w:b/>
          <w:i w:val="0"/>
          <w:color w:val="000000"/>
          <w:sz w:val="22"/>
        </w:rPr>
        <w:t>6.2. Производительность, отказоустойчивость и объяснимость</w:t>
      </w:r>
    </w:p>
    <w:p>
      <w:pPr>
        <w:pStyle w:val="ICESTNormal"/>
        <w:spacing w:line="240" w:lineRule="auto" w:after="0"/>
        <w:ind w:firstLine="283"/>
        <w:jc w:val="both"/>
      </w:pPr>
      <w:r>
        <w:rPr>
          <w:rFonts w:ascii="Times New Roman" w:hAnsi="Times New Roman" w:eastAsia="Times New Roman"/>
          <w:b w:val="0"/>
          <w:i w:val="0"/>
          <w:color w:val="000000"/>
          <w:sz w:val="22"/>
        </w:rPr>
        <w:t>Повторная предобработка была главным источником задержки. Подпись кэша учитывает данные и конфигурацию, поэтому неизменившиеся этапы ЕПВО и scoring переиспользуются. В повторном контрольном запуске этап ЕПВО сократился с 28,45 до 0,15 секунды, scoring - со 175,38 до 0,16 секунды, а полная A/B/C генерация - с 320,5 до 138,3 секунды. Оставшееся время относится к реальному синтезу и verifier.</w:t>
      </w:r>
    </w:p>
    <w:p>
      <w:pPr>
        <w:pStyle w:val="ICESTNormal"/>
        <w:spacing w:line="240" w:lineRule="auto" w:after="0"/>
        <w:ind w:firstLine="283"/>
        <w:jc w:val="both"/>
      </w:pPr>
      <w:r>
        <w:rPr>
          <w:rFonts w:ascii="Times New Roman" w:hAnsi="Times New Roman" w:eastAsia="Times New Roman"/>
          <w:b w:val="0"/>
          <w:i w:val="0"/>
          <w:color w:val="000000"/>
          <w:sz w:val="22"/>
        </w:rPr>
        <w:t>Внешние AI API используются только для предложений целей, РО, объяснений достижимости и названий bridge. Типизированный контракт проверяет язык, число элементов, диапазон оценок и предметную релевантность. При сбое включается детерминированный fallback, который не обходит verifier. Длительные операции показывают этапы прогресса и блокируют повторный запуск.</w:t>
      </w:r>
    </w:p>
    <w:p>
      <w:pPr>
        <w:pStyle w:val="ICESTNormal"/>
        <w:spacing w:line="240" w:lineRule="auto" w:after="0"/>
        <w:ind w:firstLine="283"/>
        <w:jc w:val="both"/>
      </w:pPr>
      <w:r>
        <w:rPr>
          <w:rFonts w:ascii="Times New Roman" w:hAnsi="Times New Roman" w:eastAsia="Times New Roman"/>
          <w:b w:val="0"/>
          <w:i w:val="0"/>
          <w:color w:val="000000"/>
          <w:sz w:val="22"/>
        </w:rPr>
        <w:t>Объяснение разделяет итоговую силу связи, прогноз ИИ и доказательство ЕПВО. AI 76% и EPVO 21% означают два независимых сигнала для одной пары, а не доли программы и не числа для сложения. Интерфейс дополнительно показывает предшествующие и последующие дисциплины активного плана, превращая граф в инструмент экспертизы.</w:t>
      </w:r>
    </w:p>
    <w:p>
      <w:pPr>
        <w:spacing w:before="120" w:after="40"/>
        <w:ind w:firstLine="0"/>
        <w:jc w:val="left"/>
      </w:pPr>
      <w:r>
        <w:rPr>
          <w:rFonts w:ascii="Times New Roman" w:hAnsi="Times New Roman" w:eastAsia="Times New Roman"/>
          <w:b/>
          <w:i w:val="0"/>
          <w:color w:val="000000"/>
          <w:sz w:val="22"/>
        </w:rPr>
        <w:t>6.3. Сравнение с Реестром и международное качество</w:t>
      </w:r>
    </w:p>
    <w:p>
      <w:pPr>
        <w:pStyle w:val="ICESTNormal"/>
        <w:spacing w:line="240" w:lineRule="auto" w:after="0"/>
        <w:ind w:firstLine="283"/>
        <w:jc w:val="both"/>
      </w:pPr>
      <w:r>
        <w:rPr>
          <w:rFonts w:ascii="Times New Roman" w:hAnsi="Times New Roman" w:eastAsia="Times New Roman"/>
          <w:b w:val="0"/>
          <w:i w:val="0"/>
          <w:color w:val="000000"/>
          <w:sz w:val="22"/>
        </w:rPr>
        <w:t>Новая междисциплинарная программа не обязана копировать один исторический план. Для каждой программы ЕПВО рассчитываются общие дисциплины, Jaccard, containment и recall эталона. Низкое совпадение с одной программой совместимо с высокой provenance, если новый план объединяет подтверждённые элементы нескольких направлений. Экран сравнения показывает несколько аналогов, отсутствующие и уникальные элементы.</w:t>
      </w:r>
    </w:p>
    <w:p>
      <w:pPr>
        <w:pStyle w:val="ICESTNormal"/>
        <w:spacing w:line="240" w:lineRule="auto" w:after="0"/>
        <w:ind w:firstLine="283"/>
        <w:jc w:val="both"/>
      </w:pPr>
      <w:r>
        <w:rPr>
          <w:rFonts w:ascii="Times New Roman" w:hAnsi="Times New Roman" w:eastAsia="Times New Roman"/>
          <w:b w:val="0"/>
          <w:i w:val="0"/>
          <w:color w:val="000000"/>
          <w:sz w:val="22"/>
        </w:rPr>
        <w:t>Международный чек-лист операционализирует OBE, ABET-style continuous improvement, CDIO и Tuning. Проверяются РО, кредиты, семестры, пререквизиты, предметная релевантность, междисциплинарность, методы оценивания и участие эксперта. Score является диагностикой: 100% программной проверки не называется международной аккредитацией.</w:t>
      </w:r>
    </w:p>
    <w:p>
      <w:pPr>
        <w:pStyle w:val="ICESTNormal"/>
        <w:spacing w:line="240" w:lineRule="auto" w:after="0"/>
        <w:ind w:firstLine="283"/>
        <w:jc w:val="both"/>
      </w:pPr>
      <w:r>
        <w:rPr>
          <w:rFonts w:ascii="Times New Roman" w:hAnsi="Times New Roman" w:eastAsia="Times New Roman"/>
          <w:b w:val="0"/>
          <w:i w:val="0"/>
          <w:color w:val="000000"/>
          <w:sz w:val="22"/>
        </w:rPr>
        <w:t>Обе когорты получили 100% чек-листа, поскольку прошли реализованные критерии. Семестровое соответствие осталось ниже 100%, так как это отдельное внешнее сравнение. Раздельные результаты не позволяют скрыть проблему семестра общим score и дают ясную цель для ручной или алгоритмической коррекции.</w:t>
      </w:r>
    </w:p>
    <w:p>
      <w:pPr>
        <w:pStyle w:val="ICESTNormal"/>
        <w:spacing w:line="240" w:lineRule="auto" w:after="0"/>
        <w:ind w:firstLine="283"/>
        <w:jc w:val="both"/>
      </w:pPr>
      <w:r>
        <w:rPr>
          <w:rFonts w:ascii="Times New Roman" w:hAnsi="Times New Roman" w:eastAsia="Times New Roman"/>
          <w:b w:val="0"/>
          <w:i w:val="0"/>
          <w:color w:val="000000"/>
          <w:sz w:val="22"/>
        </w:rPr>
        <w:t>Граф знаний обеспечивает визуальный аудит: узлы расположены по семестрам, стрелки пререквизитов направлены вперёд, а интерфейс объясняет ожидаемый итог каждого семестра. Карточка показывает пре- и постреквизиты активного плана. В будущем эти выводы можно сопоставить с фактическими оценками студентов.</w:t>
      </w:r>
    </w:p>
    <w:p>
      <w:pPr>
        <w:spacing w:before="120" w:after="40"/>
        <w:ind w:firstLine="0"/>
        <w:jc w:val="left"/>
      </w:pPr>
      <w:r>
        <w:rPr>
          <w:rFonts w:ascii="Times New Roman" w:hAnsi="Times New Roman" w:eastAsia="Times New Roman"/>
          <w:b/>
          <w:i w:val="0"/>
          <w:color w:val="000000"/>
          <w:sz w:val="22"/>
        </w:rPr>
        <w:t>7. Обсуждение</w:t>
      </w:r>
    </w:p>
    <w:p>
      <w:pPr>
        <w:pStyle w:val="ICESTNormal"/>
        <w:spacing w:line="240" w:lineRule="auto" w:after="0"/>
        <w:ind w:firstLine="283"/>
        <w:jc w:val="both"/>
      </w:pPr>
      <w:r>
        <w:rPr>
          <w:rFonts w:ascii="Times New Roman" w:hAnsi="Times New Roman" w:eastAsia="Times New Roman"/>
          <w:b w:val="0"/>
          <w:i w:val="0"/>
          <w:color w:val="000000"/>
          <w:sz w:val="22"/>
        </w:rPr>
        <w:t>Результаты показывают, почему нормативные и профильные показатели нельзя смешивать. В группе ГОСО полное происхождение ЕПВО равно 61,36%, поскольку практики, исследовательская работа и аттестация являются нормативными объектами, а не обычными карточками дисциплин ЕПВО. После их корректного исключения профильное происхождение равно 100% в обеих группах.</w:t>
      </w:r>
    </w:p>
    <w:p>
      <w:pPr>
        <w:pStyle w:val="ICESTNormal"/>
        <w:spacing w:line="240" w:lineRule="auto" w:after="0"/>
        <w:ind w:firstLine="283"/>
        <w:jc w:val="both"/>
      </w:pPr>
      <w:r>
        <w:rPr>
          <w:rFonts w:ascii="Times New Roman" w:hAnsi="Times New Roman" w:eastAsia="Times New Roman"/>
          <w:b w:val="0"/>
          <w:i w:val="0"/>
          <w:color w:val="000000"/>
          <w:sz w:val="22"/>
        </w:rPr>
        <w:t>У программ без ГОСО больше свободы для приближения к историческим семестрам, поэтому их процент выше. При этом планы ГОСО остаются выполнимыми, не содержат жёстких нарушений и сохраняют профильные дисциплины ЕПВО. Система формирует сильный исходный вариант, но не заменяет юридическое утверждение и аккредитацию.</w:t>
      </w:r>
    </w:p>
    <w:p>
      <w:pPr>
        <w:pStyle w:val="ICESTNormal"/>
        <w:spacing w:line="240" w:lineRule="auto" w:after="0"/>
        <w:ind w:firstLine="283"/>
        <w:jc w:val="both"/>
      </w:pPr>
      <w:r>
        <w:rPr>
          <w:rFonts w:ascii="Times New Roman" w:hAnsi="Times New Roman" w:eastAsia="Times New Roman"/>
          <w:b w:val="0"/>
          <w:i w:val="0"/>
          <w:color w:val="000000"/>
          <w:sz w:val="22"/>
        </w:rPr>
        <w:t>В ходе предварительной экспертной демонстрации специалисты Карагандинского технического университета имени Абылкаса Сагинова и Академии государственного управления при Президенте Республики Казахстан высоко оценили связность, объяснимость и защиту нормативных компонентов. Перед формальным утверждением рекомендована небольшая ручная докрутка спорных связей и деталей силлабусов. Это соответствует human-in-the-loop архитектуре.</w:t>
      </w:r>
    </w:p>
    <w:p>
      <w:pPr>
        <w:pStyle w:val="ICESTNormal"/>
        <w:spacing w:line="240" w:lineRule="auto" w:after="0"/>
        <w:ind w:firstLine="283"/>
        <w:jc w:val="both"/>
      </w:pPr>
      <w:r>
        <w:rPr>
          <w:rFonts w:ascii="Times New Roman" w:hAnsi="Times New Roman" w:eastAsia="Times New Roman"/>
          <w:b w:val="0"/>
          <w:i w:val="0"/>
          <w:color w:val="000000"/>
          <w:sz w:val="22"/>
        </w:rPr>
        <w:t>Практическая ценность состоит в сокращении рутинной работы. Разработчик задаёт идею, направление, уровень, цели и результаты; получает релевантные дисциплины, причины выбора, альтернативы, граф пререквизитов и отчёт о качестве. Экспертные подтверждения сохраняются как данные для дальнейшего улучшения.</w:t>
      </w:r>
    </w:p>
    <w:p>
      <w:pPr>
        <w:spacing w:before="120" w:after="40"/>
        <w:ind w:firstLine="0"/>
        <w:jc w:val="left"/>
      </w:pPr>
      <w:r>
        <w:rPr>
          <w:rFonts w:ascii="Times New Roman" w:hAnsi="Times New Roman" w:eastAsia="Times New Roman"/>
          <w:b/>
          <w:i w:val="0"/>
          <w:color w:val="000000"/>
          <w:sz w:val="22"/>
        </w:rPr>
        <w:t>8. Реализация и воспроизводимость</w:t>
      </w:r>
    </w:p>
    <w:p>
      <w:pPr>
        <w:pStyle w:val="ICESTNormal"/>
        <w:spacing w:line="240" w:lineRule="auto" w:after="0"/>
        <w:ind w:firstLine="283"/>
        <w:jc w:val="both"/>
      </w:pPr>
      <w:r>
        <w:rPr>
          <w:rFonts w:ascii="Times New Roman" w:hAnsi="Times New Roman" w:eastAsia="Times New Roman"/>
          <w:b w:val="0"/>
          <w:i w:val="0"/>
          <w:color w:val="000000"/>
          <w:sz w:val="22"/>
        </w:rPr>
        <w:t>Система реализована на FastAPI и React; основной транзакционной базой является PostgreSQL, а pgvector используется для семантического индекса. Дисциплины, результаты обучения, пререквизиты, экспертные доказательства и версии планов хранятся раздельно. Поэтому происхождение не растворяется в сгенерированном тексте, а verifier может повторно получить каждое решение из структурированных записей. SQLite сохраняется только как облегчённый локальный fallback; эксперименты и свежая генерация статьи выполнены в PostgreSQL-режиме.</w:t>
      </w:r>
    </w:p>
    <w:p>
      <w:pPr>
        <w:pStyle w:val="ICESTNormal"/>
        <w:spacing w:line="240" w:lineRule="auto" w:after="0"/>
        <w:ind w:firstLine="283"/>
        <w:jc w:val="both"/>
      </w:pPr>
      <w:r>
        <w:rPr>
          <w:rFonts w:ascii="Times New Roman" w:hAnsi="Times New Roman" w:eastAsia="Times New Roman"/>
          <w:b w:val="0"/>
          <w:i w:val="0"/>
          <w:color w:val="000000"/>
          <w:sz w:val="22"/>
        </w:rPr>
        <w:t>Генерация транзакционна. Планировщик формирует выбранный вариант или полный набор A/B/C в памяти, применяет repair-процедуры, проверяет каждый результат и фиксирует данные только после прохождения инвариантов. При таймауте провайдера, невозможном кредитном остатке или ошибке проверки транзакция откатывается, а предыдущий активный план сохраняется. Частичный результат не может заменить ранее утверждённую версию.</w:t>
      </w:r>
    </w:p>
    <w:p>
      <w:pPr>
        <w:pStyle w:val="ICESTNormal"/>
        <w:spacing w:line="240" w:lineRule="auto" w:after="0"/>
        <w:ind w:firstLine="283"/>
        <w:jc w:val="both"/>
      </w:pPr>
      <w:r>
        <w:rPr>
          <w:rFonts w:ascii="Times New Roman" w:hAnsi="Times New Roman" w:eastAsia="Times New Roman"/>
          <w:b w:val="0"/>
          <w:i w:val="0"/>
          <w:color w:val="000000"/>
          <w:sz w:val="22"/>
        </w:rPr>
        <w:t>Процесс разделён на наблюдаемые этапы: выбор scope, получение кандидатов ЕПВО, оценка дисциплина-РО, нормативное замыкание, замыкание пререквизитов, подбор точной суммы кредитов, распределение по семестрам, repair и независимая проверка. Интерфейс показывает прогресс и блокирует повторный запуск. Пользователь может создать один вариант либо сразу A/B/C, а недостающие альтернативы построить позднее.</w:t>
      </w:r>
    </w:p>
    <w:p>
      <w:pPr>
        <w:pStyle w:val="ICESTNormal"/>
        <w:spacing w:line="240" w:lineRule="auto" w:after="0"/>
        <w:ind w:firstLine="283"/>
        <w:jc w:val="both"/>
      </w:pPr>
      <w:r>
        <w:rPr>
          <w:rFonts w:ascii="Times New Roman" w:hAnsi="Times New Roman" w:eastAsia="Times New Roman"/>
          <w:b w:val="0"/>
          <w:i w:val="0"/>
          <w:color w:val="000000"/>
          <w:sz w:val="22"/>
        </w:rPr>
        <w:t>Объяснение дисциплины показывает итоговую силу связи, прогноз ИИ, перенесённую оценку экспертов ЕПВО, направление и группу ОП, роль в графе и причину семестра. Эти проценты не складываются: они являются отдельными каналами доказательств. Эксперт может подтвердить связь, отметить её как слабую или неверную, исправить или исключить дисциплину из следующей генерации. Решение версионируется и может стать обучающим примером.</w:t>
      </w:r>
    </w:p>
    <w:p>
      <w:pPr>
        <w:pStyle w:val="ICESTNormal"/>
        <w:spacing w:line="240" w:lineRule="auto" w:after="0"/>
        <w:ind w:firstLine="283"/>
        <w:jc w:val="both"/>
      </w:pPr>
      <w:r>
        <w:rPr>
          <w:rFonts w:ascii="Times New Roman" w:hAnsi="Times New Roman" w:eastAsia="Times New Roman"/>
          <w:b w:val="0"/>
          <w:i w:val="0"/>
          <w:color w:val="000000"/>
          <w:sz w:val="22"/>
        </w:rPr>
        <w:t>Многоязычный слой отдельно хранит названия и описания на русском, казахском и английском языках вместе со статусом источника. Проверенные переводы отделены от черновиков, требующих просмотра. Подписи интерфейса, циклы, ошибки, экспорт и объяснения выбираются по текущему языку с детерминированным fallback. Это предотвращает незаметное смешение языков.</w:t>
      </w:r>
    </w:p>
    <w:p>
      <w:pPr>
        <w:pStyle w:val="ICESTNormal"/>
        <w:spacing w:line="240" w:lineRule="auto" w:after="0"/>
        <w:ind w:firstLine="283"/>
        <w:jc w:val="both"/>
      </w:pPr>
      <w:r>
        <w:rPr>
          <w:rFonts w:ascii="Times New Roman" w:hAnsi="Times New Roman" w:eastAsia="Times New Roman"/>
          <w:b w:val="0"/>
          <w:i w:val="0"/>
          <w:color w:val="000000"/>
          <w:sz w:val="22"/>
        </w:rPr>
        <w:t>Артефакты воспроизводимости включают frozen split, seed 42, статистику набора, идентификаторы модели и конфигурации, JSON с метриками, fingerprints планов и автоматические regression-тесты. Тесты покрывают дедупликацию, level guard, защиту ГОСО, порядок пререквизитов, допуск кредитов, уникальность дисциплин, целостность трёх языков и безопасный fallback при недоступности внешнего AI API. Один validator используется в интерфейсе и экспериментах.</w:t>
      </w:r>
    </w:p>
    <w:p>
      <w:pPr>
        <w:spacing w:before="120" w:after="40"/>
        <w:ind w:firstLine="0"/>
        <w:jc w:val="left"/>
      </w:pPr>
      <w:r>
        <w:rPr>
          <w:rFonts w:ascii="Times New Roman" w:hAnsi="Times New Roman" w:eastAsia="Times New Roman"/>
          <w:b/>
          <w:i w:val="0"/>
          <w:color w:val="000000"/>
          <w:sz w:val="22"/>
        </w:rPr>
        <w:t>9. Валидность и академическое применение</w:t>
      </w:r>
    </w:p>
    <w:p>
      <w:pPr>
        <w:pStyle w:val="ICESTNormal"/>
        <w:spacing w:line="240" w:lineRule="auto" w:after="0"/>
        <w:ind w:firstLine="283"/>
        <w:jc w:val="both"/>
      </w:pPr>
      <w:r>
        <w:rPr>
          <w:rFonts w:ascii="Times New Roman" w:hAnsi="Times New Roman" w:eastAsia="Times New Roman"/>
          <w:b w:val="0"/>
          <w:i w:val="0"/>
          <w:color w:val="000000"/>
          <w:sz w:val="22"/>
        </w:rPr>
        <w:t>Внутренняя проверка подтверждает программную и структурную валидность: планы соблюдают формальные ограничения, модельные эксперименты используют program-disjoint split, а когортные метрики пересчитываются из сохранённых файлов. Содержательная валидность поддерживается многолетним корпусом ЕПВО и разделением прогноза ИИ и исторического экспертного сигнала. Разные аспекты - классификация, ranking, provenance, семестр и выполнимость - не сворачиваются в один непрозрачный балл.</w:t>
      </w:r>
    </w:p>
    <w:p>
      <w:pPr>
        <w:pStyle w:val="ICESTNormal"/>
        <w:spacing w:line="240" w:lineRule="auto" w:after="0"/>
        <w:ind w:firstLine="283"/>
        <w:jc w:val="both"/>
      </w:pPr>
      <w:r>
        <w:rPr>
          <w:rFonts w:ascii="Times New Roman" w:hAnsi="Times New Roman" w:eastAsia="Times New Roman"/>
          <w:b w:val="0"/>
          <w:i w:val="0"/>
          <w:color w:val="000000"/>
          <w:sz w:val="22"/>
        </w:rPr>
        <w:t>Сравнение интерпретируется в наблюдаемом масштабе. Три программы с ГОСО и три без ГОСО позволяют провести контролируемую инженерную проверку, но не являются заявлением обо всех направлениях Казахстана. Поэтому сохранены идентификаторы проектов, отрицательный контроль и правило формирования когорт. Следующий этап может включать temporal holdout, слепую экспертизу по общей рубрике, inter-rater agreement и перспективное измерение фактических результатов студентов.</w:t>
      </w:r>
    </w:p>
    <w:p>
      <w:pPr>
        <w:pStyle w:val="ICESTNormal"/>
        <w:spacing w:line="240" w:lineRule="auto" w:after="0"/>
        <w:ind w:firstLine="283"/>
        <w:jc w:val="both"/>
      </w:pPr>
      <w:r>
        <w:rPr>
          <w:rFonts w:ascii="Times New Roman" w:hAnsi="Times New Roman" w:eastAsia="Times New Roman"/>
          <w:b w:val="0"/>
          <w:i w:val="0"/>
          <w:color w:val="000000"/>
          <w:sz w:val="22"/>
        </w:rPr>
        <w:t>В эксплуатации система выступает академическим соавтором решения: готовит структуру, показывает пробелы РО, находит конфликты пререквизитов, сравнивает с Реестром и формирует аудируемый пакет доказательств. Ответственный коллегиальный орган утверждает цель, РО, содержание, методы оценивания, кадровые и инфраструктурные требования и соответствие актуальной редакции ГОСО.</w:t>
      </w:r>
    </w:p>
    <w:p>
      <w:pPr>
        <w:pStyle w:val="ICESTNormal"/>
        <w:spacing w:line="240" w:lineRule="auto" w:after="0"/>
        <w:ind w:firstLine="283"/>
        <w:jc w:val="both"/>
      </w:pPr>
      <w:r>
        <w:rPr>
          <w:rFonts w:ascii="Times New Roman" w:hAnsi="Times New Roman" w:eastAsia="Times New Roman"/>
          <w:b w:val="0"/>
          <w:i w:val="0"/>
          <w:color w:val="000000"/>
          <w:sz w:val="22"/>
        </w:rPr>
        <w:t>Bridge-модуль не смешивается с реальной дисциплиной ЕПВО. Он является обоснованной гипотезой на стыке областей и становится утверждённой дисциплиной только после выбора или редактирования названия, описания, кредитов, РО, пререквизитов и оценивания экспертом. Так система поддерживает новую междисциплинарность, не выдавая синтетический модуль за исторический факт.</w:t>
      </w:r>
    </w:p>
    <w:p>
      <w:pPr>
        <w:pStyle w:val="ICESTNormal"/>
        <w:spacing w:line="240" w:lineRule="auto" w:after="0"/>
        <w:ind w:firstLine="283"/>
        <w:jc w:val="both"/>
      </w:pPr>
      <w:r>
        <w:rPr>
          <w:rFonts w:ascii="Times New Roman" w:hAnsi="Times New Roman" w:eastAsia="Times New Roman"/>
          <w:b w:val="0"/>
          <w:i w:val="0"/>
          <w:color w:val="000000"/>
          <w:sz w:val="22"/>
        </w:rPr>
        <w:t>Следующий исследовательский этап будет оптимизировать semester ranking непосредственно под ограничениями кредитов и графа. Переносы оцениваются глобально, а сырая историческая метрика сохраняется для сопоставимости. Retrieval-эксперименты проверят программно-зависимые hard negatives и listwise-цель с экспертной силой. Новая модель будет внедрена только при росте Recall, MRR и nDCG на независимом split и сохранении инвариантов свежей генерации.</w:t>
      </w:r>
    </w:p>
    <w:p>
      <w:pPr>
        <w:spacing w:before="120" w:after="40"/>
        <w:ind w:firstLine="0"/>
        <w:jc w:val="left"/>
      </w:pPr>
      <w:r>
        <w:rPr>
          <w:rFonts w:ascii="Times New Roman" w:hAnsi="Times New Roman" w:eastAsia="Times New Roman"/>
          <w:b/>
          <w:i w:val="0"/>
          <w:color w:val="000000"/>
          <w:sz w:val="22"/>
        </w:rPr>
        <w:t>9.1. Исследовательская дорожная карта</w:t>
      </w:r>
    </w:p>
    <w:p>
      <w:pPr>
        <w:pStyle w:val="ICESTNormal"/>
        <w:spacing w:line="240" w:lineRule="auto" w:after="0"/>
        <w:ind w:firstLine="283"/>
        <w:jc w:val="both"/>
      </w:pPr>
      <w:r>
        <w:rPr>
          <w:rFonts w:ascii="Times New Roman" w:hAnsi="Times New Roman" w:eastAsia="Times New Roman"/>
          <w:b w:val="0"/>
          <w:i w:val="0"/>
          <w:color w:val="000000"/>
          <w:sz w:val="22"/>
        </w:rPr>
        <w:t>Первое расширение - более крупная слепая экспертиза. Специалисты нескольких направлений получат фрагменты сгенерированных и реальных планов без указания источника и оценят релевантность, семестр, пререквизиты и готовность к применению. Inter-rater agreement и доверительные интервалы дополнят качественную демонстрацию.</w:t>
      </w:r>
    </w:p>
    <w:p>
      <w:pPr>
        <w:pStyle w:val="ICESTNormal"/>
        <w:spacing w:line="240" w:lineRule="auto" w:after="0"/>
        <w:ind w:firstLine="283"/>
        <w:jc w:val="both"/>
      </w:pPr>
      <w:r>
        <w:rPr>
          <w:rFonts w:ascii="Times New Roman" w:hAnsi="Times New Roman" w:eastAsia="Times New Roman"/>
          <w:b w:val="0"/>
          <w:i w:val="0"/>
          <w:color w:val="000000"/>
          <w:sz w:val="22"/>
        </w:rPr>
        <w:t>Второе расширение - temporal validation. Программы до даты отсечения формируют память, более поздние остаются в holdout. Это проверит прогноз будущих академических решений, а не запоминание современных дублей. Domain-transfer покажет поведение в малых направлениях и границу выбора bridge вместо слабого междоменного кандидата.</w:t>
      </w:r>
    </w:p>
    <w:p>
      <w:pPr>
        <w:pStyle w:val="ICESTNormal"/>
        <w:spacing w:line="240" w:lineRule="auto" w:after="0"/>
        <w:ind w:firstLine="283"/>
        <w:jc w:val="both"/>
      </w:pPr>
      <w:r>
        <w:rPr>
          <w:rFonts w:ascii="Times New Roman" w:hAnsi="Times New Roman" w:eastAsia="Times New Roman"/>
          <w:b w:val="0"/>
          <w:i w:val="0"/>
          <w:color w:val="000000"/>
          <w:sz w:val="22"/>
        </w:rPr>
        <w:t>Третье расширение - learning-to-rank с градуированной экспертной силой. Прямая регрессия к 0, 0,5 и 1 не улучшила retrieval в пилоте, поэтому будут проверены pairwise/listwise цели внутри программы. Hard negatives выбираются из того же уровня и близкого направления: они семантически правдоподобны, но академически неверны.</w:t>
      </w:r>
    </w:p>
    <w:p>
      <w:pPr>
        <w:pStyle w:val="ICESTNormal"/>
        <w:spacing w:line="240" w:lineRule="auto" w:after="0"/>
        <w:ind w:firstLine="283"/>
        <w:jc w:val="both"/>
      </w:pPr>
      <w:r>
        <w:rPr>
          <w:rFonts w:ascii="Times New Roman" w:hAnsi="Times New Roman" w:eastAsia="Times New Roman"/>
          <w:b w:val="0"/>
          <w:i w:val="0"/>
          <w:color w:val="000000"/>
          <w:sz w:val="22"/>
        </w:rPr>
        <w:t>Наконец, граф поддержит генерацию силлабусов, недельных тем, assessment mapping и мониторинг программы. Эти функции наследуют provenance и verifier. Силлабус остаётся draft, связанным с кредитами и РО, а фактическое достижение студентов и экспертные исправления замыкают continuous-improvement цикл.</w:t>
      </w:r>
    </w:p>
    <w:p>
      <w:pPr>
        <w:spacing w:before="120" w:after="40"/>
        <w:ind w:firstLine="0"/>
        <w:jc w:val="left"/>
      </w:pPr>
      <w:r>
        <w:rPr>
          <w:rFonts w:ascii="Times New Roman" w:hAnsi="Times New Roman" w:eastAsia="Times New Roman"/>
          <w:b/>
          <w:i w:val="0"/>
          <w:color w:val="000000"/>
          <w:sz w:val="22"/>
        </w:rPr>
        <w:t>10. Заключение</w:t>
      </w:r>
    </w:p>
    <w:p>
      <w:pPr>
        <w:pStyle w:val="ICESTNormal"/>
        <w:spacing w:line="240" w:lineRule="auto" w:after="0"/>
        <w:ind w:firstLine="283"/>
        <w:jc w:val="both"/>
      </w:pPr>
      <w:r>
        <w:rPr>
          <w:rFonts w:ascii="Times New Roman" w:hAnsi="Times New Roman" w:eastAsia="Times New Roman"/>
          <w:b w:val="0"/>
          <w:i w:val="0"/>
          <w:color w:val="000000"/>
          <w:sz w:val="22"/>
        </w:rPr>
        <w:t>Curriculum-KAG показывает, что национальная экспертная память, многоязычный поиск, графовые ограничения и детерминированные repair-эвристики могут быть объединены в воспроизводимый конвейер. Получены выполнимые планы в нормативном и международном режимах, 100% профильного происхождения и ноль жёстких нарушений. Разница 86,84% против 81,23% объясняет влияние защищённого ядра ГОСО, а необходимость небольшой ручной докрутки остаётся видимой в интерфейсе экспертной обратной связи.</w:t>
      </w:r>
    </w:p>
    <w:p>
      <w:pPr>
        <w:spacing w:before="120" w:after="40"/>
        <w:ind w:firstLine="0"/>
        <w:jc w:val="left"/>
      </w:pPr>
      <w:r>
        <w:rPr>
          <w:rFonts w:ascii="Times New Roman" w:hAnsi="Times New Roman" w:eastAsia="Times New Roman"/>
          <w:b/>
          <w:i w:val="0"/>
          <w:color w:val="000000"/>
          <w:sz w:val="22"/>
        </w:rPr>
        <w:t>Благодарности</w:t>
      </w:r>
    </w:p>
    <w:p>
      <w:pPr>
        <w:pStyle w:val="ICESTNormal"/>
        <w:spacing w:line="240" w:lineRule="auto" w:after="0"/>
        <w:ind w:firstLine="283"/>
        <w:jc w:val="both"/>
      </w:pPr>
      <w:r>
        <w:rPr>
          <w:rFonts w:ascii="Times New Roman" w:hAnsi="Times New Roman" w:eastAsia="Times New Roman"/>
          <w:b w:val="0"/>
          <w:i w:val="0"/>
          <w:color w:val="000000"/>
          <w:sz w:val="22"/>
        </w:rPr>
        <w:t>Автор благодарит академических экспертов, предоставивших качественную обратную связь во время демонстраций системы. Формальное аккредитационное решение в работе не заявляется.</w:t>
      </w:r>
    </w:p>
    <w:p>
      <w:pPr>
        <w:spacing w:before="120" w:after="40"/>
        <w:ind w:firstLine="0"/>
        <w:jc w:val="left"/>
      </w:pPr>
      <w:r>
        <w:rPr>
          <w:rFonts w:ascii="Times New Roman" w:hAnsi="Times New Roman" w:eastAsia="Times New Roman"/>
          <w:b/>
          <w:i w:val="0"/>
          <w:color w:val="000000"/>
          <w:sz w:val="22"/>
        </w:rPr>
        <w:t>Литература</w:t>
      </w:r>
    </w:p>
    <w:p>
      <w:pPr>
        <w:pStyle w:val="Els-body-text"/>
        <w:ind w:firstLine="0" w:left="0"/>
        <w:jc w:val="both"/>
      </w:pPr>
      <w:r>
        <w:rPr>
          <w:rFonts w:ascii="Times New Roman" w:hAnsi="Times New Roman" w:eastAsia="Times New Roman"/>
          <w:b w:val="0"/>
          <w:i w:val="0"/>
          <w:color w:val="000000"/>
          <w:sz w:val="18"/>
        </w:rPr>
        <w:t>[1] Biggs, J. (1996). Enhancing teaching through constructive alignment. Higher Education, 32, 347-364.</w:t>
      </w:r>
    </w:p>
    <w:p>
      <w:pPr>
        <w:pStyle w:val="Els-body-text"/>
        <w:ind w:firstLine="0" w:left="0"/>
        <w:jc w:val="both"/>
      </w:pPr>
      <w:r>
        <w:rPr>
          <w:rFonts w:ascii="Times New Roman" w:hAnsi="Times New Roman" w:eastAsia="Times New Roman"/>
          <w:b w:val="0"/>
          <w:i w:val="0"/>
          <w:color w:val="000000"/>
          <w:sz w:val="18"/>
        </w:rPr>
        <w:t>[2] Harden, R. M. (2007). Outcome-based education: the future is today. Medical Teacher, 29(7), 625-629.</w:t>
      </w:r>
    </w:p>
    <w:p>
      <w:pPr>
        <w:pStyle w:val="Els-body-text"/>
        <w:ind w:firstLine="0" w:left="0"/>
        <w:jc w:val="both"/>
      </w:pPr>
      <w:r>
        <w:rPr>
          <w:rFonts w:ascii="Times New Roman" w:hAnsi="Times New Roman" w:eastAsia="Times New Roman"/>
          <w:b w:val="0"/>
          <w:i w:val="0"/>
          <w:color w:val="000000"/>
          <w:sz w:val="18"/>
        </w:rPr>
        <w:t>[3] Reimers, N., &amp; Gurevych, I. (2019). Sentence-BERT: Sentence embeddings using Siamese BERT-networks. EMNLP-IJCNLP, 3982-3992.</w:t>
      </w:r>
    </w:p>
    <w:p>
      <w:pPr>
        <w:pStyle w:val="Els-body-text"/>
        <w:ind w:firstLine="0" w:left="0"/>
        <w:jc w:val="both"/>
      </w:pPr>
      <w:r>
        <w:rPr>
          <w:rFonts w:ascii="Times New Roman" w:hAnsi="Times New Roman" w:eastAsia="Times New Roman"/>
          <w:b w:val="0"/>
          <w:i w:val="0"/>
          <w:color w:val="000000"/>
          <w:sz w:val="18"/>
        </w:rPr>
        <w:t>[4] Robertson, S., &amp; Zaragoza, H. (2009). The probabilistic relevance framework: BM25 and beyond. Foundations and Trends in Information Retrieval, 3(4), 333-389.</w:t>
      </w:r>
    </w:p>
    <w:p>
      <w:pPr>
        <w:pStyle w:val="Els-body-text"/>
        <w:ind w:firstLine="0" w:left="0"/>
        <w:jc w:val="both"/>
      </w:pPr>
      <w:r>
        <w:rPr>
          <w:rFonts w:ascii="Times New Roman" w:hAnsi="Times New Roman" w:eastAsia="Times New Roman"/>
          <w:b w:val="0"/>
          <w:i w:val="0"/>
          <w:color w:val="000000"/>
          <w:sz w:val="18"/>
        </w:rPr>
        <w:t>[5] Lewis, P., et al. (2020). Retrieval-augmented generation for knowledge-intensive NLP tasks. Advances in Neural Information Processing Systems, 33, 9459-9474.</w:t>
      </w:r>
    </w:p>
    <w:p>
      <w:pPr>
        <w:pStyle w:val="Els-body-text"/>
        <w:ind w:firstLine="0" w:left="0"/>
        <w:jc w:val="both"/>
      </w:pPr>
      <w:r>
        <w:rPr>
          <w:rFonts w:ascii="Times New Roman" w:hAnsi="Times New Roman" w:eastAsia="Times New Roman"/>
          <w:b w:val="0"/>
          <w:i w:val="0"/>
          <w:color w:val="000000"/>
          <w:sz w:val="18"/>
        </w:rPr>
        <w:t>[6] Deb, K., Pratap, A., Agarwal, S., &amp; Meyarivan, T. (2002). A fast and elitist multiobjective genetic algorithm: NSGA-II. IEEE Transactions on Evolutionary Computation, 6(2), 182-197.</w:t>
      </w:r>
    </w:p>
    <w:p>
      <w:pPr>
        <w:pStyle w:val="Els-body-text"/>
        <w:ind w:firstLine="0" w:left="0"/>
        <w:jc w:val="both"/>
      </w:pPr>
      <w:r>
        <w:rPr>
          <w:rFonts w:ascii="Times New Roman" w:hAnsi="Times New Roman" w:eastAsia="Times New Roman"/>
          <w:b w:val="0"/>
          <w:i w:val="0"/>
          <w:color w:val="000000"/>
          <w:sz w:val="18"/>
        </w:rPr>
        <w:t>[7] Kipf, T. N., &amp; Welling, M. (2017). Semi-supervised classification with graph convolutional networks. ICLR.</w:t>
      </w:r>
    </w:p>
    <w:p>
      <w:pPr>
        <w:pStyle w:val="Els-body-text"/>
        <w:ind w:firstLine="0" w:left="0"/>
        <w:jc w:val="both"/>
      </w:pPr>
      <w:r>
        <w:rPr>
          <w:rFonts w:ascii="Times New Roman" w:hAnsi="Times New Roman" w:eastAsia="Times New Roman"/>
          <w:b w:val="0"/>
          <w:i w:val="0"/>
          <w:color w:val="000000"/>
          <w:sz w:val="18"/>
        </w:rPr>
        <w:t>[8] Hamilton, W. L., Ying, R., &amp; Leskovec, J. (2017). Inductive representation learning on large graphs. NeurIPS, 1024-1034.</w:t>
      </w:r>
    </w:p>
    <w:p>
      <w:pPr>
        <w:pStyle w:val="Els-body-text"/>
        <w:ind w:firstLine="0" w:left="0"/>
        <w:jc w:val="both"/>
      </w:pPr>
      <w:r>
        <w:rPr>
          <w:rFonts w:ascii="Times New Roman" w:hAnsi="Times New Roman" w:eastAsia="Times New Roman"/>
          <w:b w:val="0"/>
          <w:i w:val="0"/>
          <w:color w:val="000000"/>
          <w:sz w:val="18"/>
        </w:rPr>
        <w:t>[9] Hochreiter, S., &amp; Schmidhuber, J. (1997). Long short-term memory. Neural Computation, 9(8), 1735-1780.</w:t>
      </w:r>
    </w:p>
    <w:p>
      <w:pPr>
        <w:pStyle w:val="Els-body-text"/>
        <w:ind w:firstLine="0" w:left="0"/>
        <w:jc w:val="both"/>
      </w:pPr>
      <w:r>
        <w:rPr>
          <w:rFonts w:ascii="Times New Roman" w:hAnsi="Times New Roman" w:eastAsia="Times New Roman"/>
          <w:b w:val="0"/>
          <w:i w:val="0"/>
          <w:color w:val="000000"/>
          <w:sz w:val="18"/>
        </w:rPr>
        <w:t>[10] Gebru, T., et al. (2021). Datasheets for datasets. Communications of the ACM, 64(12), 86-92.</w:t>
      </w:r>
    </w:p>
    <w:p>
      <w:pPr>
        <w:pStyle w:val="Els-body-text"/>
        <w:ind w:firstLine="0" w:left="0"/>
        <w:jc w:val="both"/>
      </w:pPr>
      <w:r>
        <w:rPr>
          <w:rFonts w:ascii="Times New Roman" w:hAnsi="Times New Roman" w:eastAsia="Times New Roman"/>
          <w:b w:val="0"/>
          <w:i w:val="0"/>
          <w:color w:val="000000"/>
          <w:sz w:val="18"/>
        </w:rPr>
        <w:t>[11] Mitchell, M., et al. (2019). Model cards for model reporting. FAT* 2019, 220-229.</w:t>
      </w:r>
    </w:p>
    <w:p>
      <w:pPr>
        <w:pStyle w:val="Els-body-text"/>
        <w:ind w:firstLine="0" w:left="0"/>
        <w:jc w:val="both"/>
      </w:pPr>
      <w:r>
        <w:rPr>
          <w:rFonts w:ascii="Times New Roman" w:hAnsi="Times New Roman" w:eastAsia="Times New Roman"/>
          <w:b w:val="0"/>
          <w:i w:val="0"/>
          <w:color w:val="000000"/>
          <w:sz w:val="18"/>
        </w:rPr>
        <w:t>[12] Unified Higher Education Platform of the Republic of Kazakhstan. Registry of Educational Programs. https://epvo.kz/#/register/education_program</w:t>
      </w:r>
    </w:p>
    <w:p>
      <w:pPr>
        <w:pStyle w:val="Els-body-text"/>
        <w:ind w:firstLine="0" w:left="0"/>
        <w:jc w:val="both"/>
      </w:pPr>
      <w:r>
        <w:rPr>
          <w:rFonts w:ascii="Times New Roman" w:hAnsi="Times New Roman" w:eastAsia="Times New Roman"/>
          <w:b w:val="0"/>
          <w:i w:val="0"/>
          <w:color w:val="000000"/>
          <w:sz w:val="18"/>
        </w:rPr>
        <w:t>[13] Ministry of Science and Higher Education of the Republic of Kazakhstan. State Compulsory Standards of Higher and Postgraduate Education, revision dated May 4, 2026.</w:t>
      </w:r>
    </w:p>
    <w:p>
      <w:pPr>
        <w:pStyle w:val="Els-body-text"/>
        <w:ind w:firstLine="0" w:left="0"/>
        <w:jc w:val="both"/>
      </w:pPr>
      <w:r>
        <w:rPr>
          <w:rFonts w:ascii="Times New Roman" w:hAnsi="Times New Roman" w:eastAsia="Times New Roman"/>
          <w:b w:val="0"/>
          <w:i w:val="0"/>
          <w:color w:val="000000"/>
          <w:sz w:val="18"/>
        </w:rPr>
        <w:t>[14] ABET. (2025). Criteria for Accrediting Computing Programs.</w:t>
      </w:r>
    </w:p>
    <w:p>
      <w:pPr>
        <w:pStyle w:val="Els-body-text"/>
        <w:ind w:firstLine="0" w:left="0"/>
        <w:jc w:val="both"/>
      </w:pPr>
      <w:r>
        <w:rPr>
          <w:rFonts w:ascii="Times New Roman" w:hAnsi="Times New Roman" w:eastAsia="Times New Roman"/>
          <w:b w:val="0"/>
          <w:i w:val="0"/>
          <w:color w:val="000000"/>
          <w:sz w:val="18"/>
        </w:rPr>
        <w:t>[15] Crawley, E. F., Malmqvist, J., Östlund, S., Brodeur, D. R., &amp; Edström, K. (2014). Rethinking Engineering Education: The CDIO Approach. Springer.</w:t>
      </w:r>
    </w:p>
    <w:p>
      <w:pPr>
        <w:pStyle w:val="Els-body-text"/>
        <w:ind w:firstLine="0" w:left="0"/>
        <w:jc w:val="both"/>
      </w:pPr>
      <w:r>
        <w:rPr>
          <w:rFonts w:ascii="Times New Roman" w:hAnsi="Times New Roman" w:eastAsia="Times New Roman"/>
          <w:b w:val="0"/>
          <w:i w:val="0"/>
          <w:color w:val="000000"/>
          <w:sz w:val="18"/>
        </w:rPr>
        <w:t>[16] González, J., &amp; Wagenaar, R. (Eds.). (2003). Tuning Educational Structures in Europe. University of Deusto.</w:t>
      </w:r>
    </w:p>
    <w:sectPr w:rsidR="00286E77" w:rsidRPr="00286E77" w:rsidSect="00B85B29">
      <w:type w:val="continuous"/>
      <w:pgSz w:w="11907" w:h="16839" w:code="9"/>
      <w:pgMar w:top="1138" w:right="1022" w:bottom="1138" w:left="1138" w:header="720" w:footer="72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087CE" w14:textId="77777777" w:rsidR="00897A5E" w:rsidRDefault="00897A5E" w:rsidP="00110ACC">
      <w:pPr>
        <w:spacing w:after="0" w:line="240" w:lineRule="auto"/>
      </w:pPr>
      <w:r>
        <w:separator/>
      </w:r>
    </w:p>
  </w:endnote>
  <w:endnote w:type="continuationSeparator" w:id="0">
    <w:p w14:paraId="243AE129" w14:textId="77777777" w:rsidR="00897A5E" w:rsidRDefault="00897A5E" w:rsidP="00110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996BB" w14:textId="77777777" w:rsidR="00897A5E" w:rsidRDefault="00897A5E" w:rsidP="00110ACC">
      <w:pPr>
        <w:spacing w:after="0" w:line="240" w:lineRule="auto"/>
      </w:pPr>
      <w:r>
        <w:separator/>
      </w:r>
    </w:p>
  </w:footnote>
  <w:footnote w:type="continuationSeparator" w:id="0">
    <w:p w14:paraId="315FED83" w14:textId="77777777" w:rsidR="00897A5E" w:rsidRDefault="00897A5E" w:rsidP="00110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5185"/>
    <w:multiLevelType w:val="hybridMultilevel"/>
    <w:tmpl w:val="B05C6C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067978"/>
    <w:multiLevelType w:val="hybridMultilevel"/>
    <w:tmpl w:val="4CF8346E"/>
    <w:lvl w:ilvl="0" w:tplc="618EF2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0975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A9486B"/>
    <w:multiLevelType w:val="hybridMultilevel"/>
    <w:tmpl w:val="795E9E04"/>
    <w:lvl w:ilvl="0" w:tplc="CEAC30E8">
      <w:start w:val="3"/>
      <w:numFmt w:val="decimal"/>
      <w:pStyle w:val="ICESTRefertext"/>
      <w:lvlText w:val="[%1]"/>
      <w:lvlJc w:val="left"/>
      <w:pPr>
        <w:tabs>
          <w:tab w:val="num" w:pos="720"/>
        </w:tabs>
        <w:ind w:left="357" w:hanging="357"/>
      </w:pPr>
      <w:rPr>
        <w:rFonts w:ascii="Times New Roman" w:hAnsi="Times New Roman" w:cs="Times New Roman" w:hint="default"/>
        <w:b w:val="0"/>
        <w:i w:val="0"/>
        <w:sz w:val="22"/>
        <w:szCs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84C7551"/>
    <w:multiLevelType w:val="multilevel"/>
    <w:tmpl w:val="D1B4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08938">
    <w:abstractNumId w:val="0"/>
  </w:num>
  <w:num w:numId="2" w16cid:durableId="1354724175">
    <w:abstractNumId w:val="3"/>
  </w:num>
  <w:num w:numId="3" w16cid:durableId="116487647">
    <w:abstractNumId w:val="1"/>
  </w:num>
  <w:num w:numId="4" w16cid:durableId="1983119471">
    <w:abstractNumId w:val="2"/>
  </w:num>
  <w:num w:numId="5" w16cid:durableId="1552572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0ACC"/>
    <w:rsid w:val="0001514D"/>
    <w:rsid w:val="00027124"/>
    <w:rsid w:val="00046F08"/>
    <w:rsid w:val="00052093"/>
    <w:rsid w:val="00052D56"/>
    <w:rsid w:val="000544D5"/>
    <w:rsid w:val="00087827"/>
    <w:rsid w:val="0009060C"/>
    <w:rsid w:val="000A481E"/>
    <w:rsid w:val="000C15F1"/>
    <w:rsid w:val="000C1CE4"/>
    <w:rsid w:val="000C6B51"/>
    <w:rsid w:val="000D02CA"/>
    <w:rsid w:val="000E1E65"/>
    <w:rsid w:val="000F67A6"/>
    <w:rsid w:val="00110ACC"/>
    <w:rsid w:val="00147DDB"/>
    <w:rsid w:val="00183177"/>
    <w:rsid w:val="00194C87"/>
    <w:rsid w:val="0019766B"/>
    <w:rsid w:val="001A0310"/>
    <w:rsid w:val="001C5A51"/>
    <w:rsid w:val="001D0063"/>
    <w:rsid w:val="001E6EE1"/>
    <w:rsid w:val="001F4410"/>
    <w:rsid w:val="001F5558"/>
    <w:rsid w:val="00200146"/>
    <w:rsid w:val="0020025E"/>
    <w:rsid w:val="002266EA"/>
    <w:rsid w:val="00271490"/>
    <w:rsid w:val="00273A90"/>
    <w:rsid w:val="00286E77"/>
    <w:rsid w:val="00297F8C"/>
    <w:rsid w:val="002A4059"/>
    <w:rsid w:val="002B27AE"/>
    <w:rsid w:val="002C7B00"/>
    <w:rsid w:val="00307B08"/>
    <w:rsid w:val="00335435"/>
    <w:rsid w:val="00345E98"/>
    <w:rsid w:val="003A6D8E"/>
    <w:rsid w:val="003C5116"/>
    <w:rsid w:val="003E1ABD"/>
    <w:rsid w:val="003F0B9D"/>
    <w:rsid w:val="004021DB"/>
    <w:rsid w:val="00483A17"/>
    <w:rsid w:val="004909B9"/>
    <w:rsid w:val="004B3FCC"/>
    <w:rsid w:val="004B6EBE"/>
    <w:rsid w:val="004C0BB9"/>
    <w:rsid w:val="00511EA0"/>
    <w:rsid w:val="005330CD"/>
    <w:rsid w:val="00572761"/>
    <w:rsid w:val="005B272D"/>
    <w:rsid w:val="005D303D"/>
    <w:rsid w:val="005F73BF"/>
    <w:rsid w:val="0060181E"/>
    <w:rsid w:val="006065D1"/>
    <w:rsid w:val="006241AF"/>
    <w:rsid w:val="006433B8"/>
    <w:rsid w:val="0065347C"/>
    <w:rsid w:val="00654F3B"/>
    <w:rsid w:val="006557D0"/>
    <w:rsid w:val="0065752C"/>
    <w:rsid w:val="006663C8"/>
    <w:rsid w:val="00691FB8"/>
    <w:rsid w:val="006F4973"/>
    <w:rsid w:val="00700244"/>
    <w:rsid w:val="0070188A"/>
    <w:rsid w:val="00704F9A"/>
    <w:rsid w:val="007223F2"/>
    <w:rsid w:val="00730D9E"/>
    <w:rsid w:val="007D35E5"/>
    <w:rsid w:val="007D5851"/>
    <w:rsid w:val="007E0199"/>
    <w:rsid w:val="007F1E2F"/>
    <w:rsid w:val="007F3140"/>
    <w:rsid w:val="00805CB8"/>
    <w:rsid w:val="00845314"/>
    <w:rsid w:val="00890BA4"/>
    <w:rsid w:val="00891F32"/>
    <w:rsid w:val="00895290"/>
    <w:rsid w:val="00897A5E"/>
    <w:rsid w:val="008A0056"/>
    <w:rsid w:val="008C4273"/>
    <w:rsid w:val="008E38E5"/>
    <w:rsid w:val="008E5940"/>
    <w:rsid w:val="008F7AE4"/>
    <w:rsid w:val="00920C71"/>
    <w:rsid w:val="009453D5"/>
    <w:rsid w:val="009503D0"/>
    <w:rsid w:val="00973441"/>
    <w:rsid w:val="0099751F"/>
    <w:rsid w:val="00A016A2"/>
    <w:rsid w:val="00A1732B"/>
    <w:rsid w:val="00A17D31"/>
    <w:rsid w:val="00A324D1"/>
    <w:rsid w:val="00A47999"/>
    <w:rsid w:val="00AA4529"/>
    <w:rsid w:val="00AF6B63"/>
    <w:rsid w:val="00B60C56"/>
    <w:rsid w:val="00B76FF5"/>
    <w:rsid w:val="00B80BDB"/>
    <w:rsid w:val="00B85B29"/>
    <w:rsid w:val="00BA085E"/>
    <w:rsid w:val="00BB6337"/>
    <w:rsid w:val="00BC0532"/>
    <w:rsid w:val="00BD0A6C"/>
    <w:rsid w:val="00C245C5"/>
    <w:rsid w:val="00C54E60"/>
    <w:rsid w:val="00C55984"/>
    <w:rsid w:val="00C772A3"/>
    <w:rsid w:val="00C86DED"/>
    <w:rsid w:val="00CB19C3"/>
    <w:rsid w:val="00CB76D6"/>
    <w:rsid w:val="00CC3222"/>
    <w:rsid w:val="00CD3112"/>
    <w:rsid w:val="00CD3561"/>
    <w:rsid w:val="00CE6907"/>
    <w:rsid w:val="00D01CAF"/>
    <w:rsid w:val="00D05E5C"/>
    <w:rsid w:val="00D129B8"/>
    <w:rsid w:val="00D17634"/>
    <w:rsid w:val="00D46066"/>
    <w:rsid w:val="00D75918"/>
    <w:rsid w:val="00D81CEF"/>
    <w:rsid w:val="00DA6BF1"/>
    <w:rsid w:val="00DC19B1"/>
    <w:rsid w:val="00DD2463"/>
    <w:rsid w:val="00E271DA"/>
    <w:rsid w:val="00E56D29"/>
    <w:rsid w:val="00E77F89"/>
    <w:rsid w:val="00E842C2"/>
    <w:rsid w:val="00E9212A"/>
    <w:rsid w:val="00EA77A9"/>
    <w:rsid w:val="00EE6EFF"/>
    <w:rsid w:val="00EE7E12"/>
    <w:rsid w:val="00EF2C52"/>
    <w:rsid w:val="00F142D6"/>
    <w:rsid w:val="00F7207B"/>
    <w:rsid w:val="00F76F7B"/>
    <w:rsid w:val="00F8762D"/>
    <w:rsid w:val="00F87D13"/>
    <w:rsid w:val="00F9211E"/>
    <w:rsid w:val="00F936C8"/>
    <w:rsid w:val="00F95C67"/>
    <w:rsid w:val="00FB2994"/>
    <w:rsid w:val="00FB2FFA"/>
    <w:rsid w:val="00FB538F"/>
    <w:rsid w:val="00FC1785"/>
    <w:rsid w:val="00FE1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B8237"/>
  <w15:docId w15:val="{0903D7C9-69B5-40E0-8248-67E1D776C20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88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10A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0ACC"/>
  </w:style>
  <w:style w:type="paragraph" w:styleId="Footer">
    <w:name w:val="footer"/>
    <w:basedOn w:val="Normal"/>
    <w:link w:val="FooterChar"/>
    <w:uiPriority w:val="99"/>
    <w:unhideWhenUsed/>
    <w:rsid w:val="00110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ACC"/>
  </w:style>
  <w:style w:type="paragraph" w:customStyle="1" w:styleId="ICESTTitle">
    <w:name w:val="ICEST_Title"/>
    <w:basedOn w:val="Normal"/>
    <w:rsid w:val="00110ACC"/>
    <w:pPr>
      <w:autoSpaceDE w:val="0"/>
      <w:autoSpaceDN w:val="0"/>
      <w:adjustRightInd w:val="0"/>
      <w:spacing w:after="0" w:line="240" w:lineRule="auto"/>
      <w:jc w:val="center"/>
    </w:pPr>
    <w:rPr>
      <w:rFonts w:ascii="Times New Roman" w:eastAsia="Times New Roman" w:hAnsi="Times New Roman" w:cs="Arial"/>
      <w:sz w:val="44"/>
    </w:rPr>
  </w:style>
  <w:style w:type="paragraph" w:customStyle="1" w:styleId="ICESTAbstract">
    <w:name w:val="ICEST_Abstract"/>
    <w:basedOn w:val="Normal"/>
    <w:rsid w:val="00110ACC"/>
    <w:pPr>
      <w:spacing w:after="0" w:line="240" w:lineRule="auto"/>
      <w:ind w:firstLine="198"/>
      <w:jc w:val="both"/>
    </w:pPr>
    <w:rPr>
      <w:rFonts w:ascii="Times New Roman" w:eastAsia="Times New Roman" w:hAnsi="Times New Roman"/>
      <w:b/>
      <w:sz w:val="18"/>
      <w:szCs w:val="24"/>
      <w:lang w:val="en-GB"/>
    </w:rPr>
  </w:style>
  <w:style w:type="paragraph" w:customStyle="1" w:styleId="ICESTNormal">
    <w:name w:val="ICEST_Normal"/>
    <w:basedOn w:val="Normal"/>
    <w:rsid w:val="00110ACC"/>
    <w:pPr>
      <w:autoSpaceDE w:val="0"/>
      <w:autoSpaceDN w:val="0"/>
      <w:adjustRightInd w:val="0"/>
      <w:spacing w:after="0" w:line="240" w:lineRule="auto"/>
      <w:ind w:firstLine="198"/>
      <w:jc w:val="both"/>
    </w:pPr>
    <w:rPr>
      <w:rFonts w:ascii="Times New Roman" w:eastAsia="Times New Roman" w:hAnsi="Times New Roman" w:cs="Arial"/>
      <w:sz w:val="20"/>
    </w:rPr>
  </w:style>
  <w:style w:type="paragraph" w:styleId="NoSpacing">
    <w:name w:val="No Spacing"/>
    <w:uiPriority w:val="1"/>
    <w:qFormat/>
    <w:rsid w:val="00110ACC"/>
    <w:rPr>
      <w:sz w:val="22"/>
      <w:szCs w:val="22"/>
    </w:rPr>
  </w:style>
  <w:style w:type="paragraph" w:styleId="BalloonText">
    <w:name w:val="Balloon Text"/>
    <w:basedOn w:val="Normal"/>
    <w:link w:val="BalloonTextChar"/>
    <w:uiPriority w:val="99"/>
    <w:semiHidden/>
    <w:unhideWhenUsed/>
    <w:rsid w:val="005B27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72D"/>
    <w:rPr>
      <w:rFonts w:ascii="Tahoma" w:hAnsi="Tahoma" w:cs="Tahoma"/>
      <w:sz w:val="16"/>
      <w:szCs w:val="16"/>
    </w:rPr>
  </w:style>
  <w:style w:type="character" w:styleId="Hyperlink">
    <w:name w:val="Hyperlink"/>
    <w:basedOn w:val="DefaultParagraphFont"/>
    <w:rsid w:val="005B272D"/>
    <w:rPr>
      <w:color w:val="0000FF"/>
      <w:u w:val="single"/>
    </w:rPr>
  </w:style>
  <w:style w:type="paragraph" w:customStyle="1" w:styleId="ICESTRefertext">
    <w:name w:val="ICEST_Refer_text"/>
    <w:basedOn w:val="Normal"/>
    <w:rsid w:val="005B272D"/>
    <w:pPr>
      <w:numPr>
        <w:numId w:val="2"/>
      </w:numPr>
      <w:tabs>
        <w:tab w:val="left" w:pos="357"/>
      </w:tabs>
      <w:autoSpaceDE w:val="0"/>
      <w:autoSpaceDN w:val="0"/>
      <w:adjustRightInd w:val="0"/>
      <w:spacing w:after="0" w:line="240" w:lineRule="auto"/>
      <w:jc w:val="both"/>
    </w:pPr>
    <w:rPr>
      <w:rFonts w:ascii="Times New Roman" w:eastAsia="Times New Roman" w:hAnsi="Times New Roman" w:cs="Arial"/>
      <w:sz w:val="18"/>
    </w:rPr>
  </w:style>
  <w:style w:type="paragraph" w:styleId="BodyText">
    <w:name w:val="Body Text"/>
    <w:basedOn w:val="Normal"/>
    <w:link w:val="BodyTextChar"/>
    <w:rsid w:val="00E9212A"/>
    <w:pPr>
      <w:spacing w:after="120" w:line="228" w:lineRule="auto"/>
      <w:ind w:firstLine="288"/>
      <w:jc w:val="both"/>
    </w:pPr>
    <w:rPr>
      <w:rFonts w:ascii="Times New Roman" w:eastAsia="SimSun" w:hAnsi="Times New Roman"/>
      <w:spacing w:val="-1"/>
      <w:sz w:val="20"/>
      <w:szCs w:val="20"/>
    </w:rPr>
  </w:style>
  <w:style w:type="character" w:customStyle="1" w:styleId="BodyTextChar">
    <w:name w:val="Body Text Char"/>
    <w:basedOn w:val="DefaultParagraphFont"/>
    <w:link w:val="BodyText"/>
    <w:rsid w:val="00E9212A"/>
    <w:rPr>
      <w:rFonts w:ascii="Times New Roman" w:eastAsia="SimSun" w:hAnsi="Times New Roman" w:cs="Times New Roman"/>
      <w:spacing w:val="-1"/>
      <w:sz w:val="20"/>
      <w:szCs w:val="20"/>
    </w:rPr>
  </w:style>
  <w:style w:type="paragraph" w:customStyle="1" w:styleId="Els-acknowledgement">
    <w:name w:val="Els-acknowledgement"/>
    <w:next w:val="Normal"/>
    <w:rsid w:val="00E9212A"/>
    <w:pPr>
      <w:keepNext/>
      <w:spacing w:before="480" w:after="240" w:line="220" w:lineRule="exact"/>
    </w:pPr>
    <w:rPr>
      <w:rFonts w:ascii="Times New Roman" w:eastAsia="SimSun" w:hAnsi="Times New Roman"/>
      <w:b/>
    </w:rPr>
  </w:style>
  <w:style w:type="paragraph" w:customStyle="1" w:styleId="Els-body-text">
    <w:name w:val="Els-body-text"/>
    <w:rsid w:val="00E9212A"/>
    <w:pPr>
      <w:keepNext/>
      <w:spacing w:line="240" w:lineRule="exact"/>
      <w:ind w:firstLine="238"/>
      <w:jc w:val="both"/>
    </w:pPr>
    <w:rPr>
      <w:rFonts w:ascii="Times New Roman" w:eastAsia="SimSun" w:hAnsi="Times New Roman"/>
    </w:rPr>
  </w:style>
  <w:style w:type="paragraph" w:customStyle="1" w:styleId="Els-reference-head">
    <w:name w:val="Els-reference-head"/>
    <w:next w:val="Normal"/>
    <w:rsid w:val="00E9212A"/>
    <w:pPr>
      <w:keepNext/>
      <w:spacing w:before="480" w:after="200" w:line="220" w:lineRule="exact"/>
    </w:pPr>
    <w:rPr>
      <w:rFonts w:ascii="Times New Roman" w:eastAsia="SimSun" w:hAnsi="Times New Roman"/>
      <w:b/>
    </w:rPr>
  </w:style>
  <w:style w:type="character" w:customStyle="1" w:styleId="authors">
    <w:name w:val="authors"/>
    <w:basedOn w:val="DefaultParagraphFont"/>
    <w:rsid w:val="008C4273"/>
  </w:style>
  <w:style w:type="paragraph" w:styleId="ListParagraph">
    <w:name w:val="List Paragraph"/>
    <w:basedOn w:val="Normal"/>
    <w:uiPriority w:val="34"/>
    <w:qFormat/>
    <w:rsid w:val="008C4273"/>
    <w:pPr>
      <w:ind w:left="720"/>
      <w:contextualSpacing/>
    </w:pPr>
  </w:style>
  <w:style w:type="character" w:styleId="Emphasis">
    <w:name w:val="Emphasis"/>
    <w:basedOn w:val="DefaultParagraphFont"/>
    <w:uiPriority w:val="20"/>
    <w:qFormat/>
    <w:rsid w:val="00D129B8"/>
    <w:rPr>
      <w:i/>
      <w:iCs/>
    </w:rPr>
  </w:style>
  <w:style w:type="character" w:customStyle="1" w:styleId="apple-converted-space">
    <w:name w:val="apple-converted-space"/>
    <w:basedOn w:val="DefaultParagraphFont"/>
    <w:rsid w:val="0019766B"/>
  </w:style>
  <w:style w:type="character" w:styleId="CommentReference">
    <w:name w:val="annotation reference"/>
    <w:basedOn w:val="DefaultParagraphFont"/>
    <w:uiPriority w:val="99"/>
    <w:semiHidden/>
    <w:unhideWhenUsed/>
    <w:rsid w:val="00AA4529"/>
    <w:rPr>
      <w:sz w:val="16"/>
      <w:szCs w:val="16"/>
    </w:rPr>
  </w:style>
  <w:style w:type="paragraph" w:styleId="CommentText">
    <w:name w:val="annotation text"/>
    <w:basedOn w:val="Normal"/>
    <w:link w:val="CommentTextChar"/>
    <w:uiPriority w:val="99"/>
    <w:semiHidden/>
    <w:unhideWhenUsed/>
    <w:rsid w:val="00AA4529"/>
    <w:pPr>
      <w:spacing w:line="240" w:lineRule="auto"/>
    </w:pPr>
    <w:rPr>
      <w:sz w:val="20"/>
      <w:szCs w:val="20"/>
    </w:rPr>
  </w:style>
  <w:style w:type="character" w:customStyle="1" w:styleId="CommentTextChar">
    <w:name w:val="Comment Text Char"/>
    <w:basedOn w:val="DefaultParagraphFont"/>
    <w:link w:val="CommentText"/>
    <w:uiPriority w:val="99"/>
    <w:semiHidden/>
    <w:rsid w:val="00AA4529"/>
  </w:style>
  <w:style w:type="paragraph" w:styleId="CommentSubject">
    <w:name w:val="annotation subject"/>
    <w:basedOn w:val="CommentText"/>
    <w:next w:val="CommentText"/>
    <w:link w:val="CommentSubjectChar"/>
    <w:uiPriority w:val="99"/>
    <w:semiHidden/>
    <w:unhideWhenUsed/>
    <w:rsid w:val="00AA4529"/>
    <w:rPr>
      <w:b/>
      <w:bCs/>
    </w:rPr>
  </w:style>
  <w:style w:type="character" w:customStyle="1" w:styleId="CommentSubjectChar">
    <w:name w:val="Comment Subject Char"/>
    <w:basedOn w:val="CommentTextChar"/>
    <w:link w:val="CommentSubject"/>
    <w:uiPriority w:val="99"/>
    <w:semiHidden/>
    <w:rsid w:val="00AA4529"/>
    <w:rPr>
      <w:b/>
      <w:bCs/>
    </w:rPr>
  </w:style>
  <w:style w:type="paragraph" w:styleId="NormalWeb">
    <w:name w:val="Normal (Web)"/>
    <w:basedOn w:val="Normal"/>
    <w:uiPriority w:val="99"/>
    <w:unhideWhenUsed/>
    <w:rsid w:val="00AA4529"/>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98487">
      <w:bodyDiv w:val="1"/>
      <w:marLeft w:val="0"/>
      <w:marRight w:val="0"/>
      <w:marTop w:val="0"/>
      <w:marBottom w:val="0"/>
      <w:divBdr>
        <w:top w:val="none" w:sz="0" w:space="0" w:color="auto"/>
        <w:left w:val="none" w:sz="0" w:space="0" w:color="auto"/>
        <w:bottom w:val="none" w:sz="0" w:space="0" w:color="auto"/>
        <w:right w:val="none" w:sz="0" w:space="0" w:color="auto"/>
      </w:divBdr>
    </w:div>
    <w:div w:id="103265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421/TEMxx-xx" TargetMode="External"/><Relationship Id="rId13" Type="http://schemas.openxmlformats.org/officeDocument/2006/relationships/hyperlink" Target="https://www.festo.com/rep/en_corp/assets/pdf/info_501_e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73/pnas.08054171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emjournal.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2F2B7-9C69-4678-9E99-08DB89FEA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TEM Journal</vt:lpstr>
    </vt:vector>
  </TitlesOfParts>
  <Company>UIKTEN</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Доказательный синтез учебных планов: экспертные данные, семантический поиск и ограниченное распределение по семестрам</dc:title>
  <cp:lastModifiedBy>enes.sukic@outlook.com</cp:lastModifiedBy>
  <cp:revision>18</cp:revision>
  <dcterms:created xsi:type="dcterms:W3CDTF">2021-06-01T19:34:00Z</dcterms:created>
  <dcterms:modified xsi:type="dcterms:W3CDTF">2025-04-06T15:50:00Z</dcterms:modified>
  <dc:creator>Murat Kozhanov</dc:creator>
  <dc:subject>Curriculum-KAG</dc:subject>
</cp:coreProperties>
</file>