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880D24" w14:textId="77777777" w:rsidR="0020025E" w:rsidRPr="006663C8" w:rsidRDefault="0065347C" w:rsidP="006663C8">
      <w:pPr>
        <w:spacing w:after="0"/>
        <w:jc w:val="center"/>
        <w:rPr>
          <w:rFonts w:ascii="Times New Roman" w:hAnsi="Times New Roman"/>
          <w:b/>
          <w:sz w:val="48"/>
          <w:lang w:eastAsia="en-GB"/>
        </w:rPr>
      </w:pPr>
      <w:bookmarkStart w:id="0" w:name="_GoBack"/>
      <w:bookmarkEnd w:id="0"/>
      <w:r>
        <w:rPr>
          <w:rFonts w:ascii="Times New Roman" w:eastAsia="Times New Roman" w:hAnsi="Times New Roman"/>
          <w:b/>
          <w:color w:val="000000"/>
          <w:sz w:val="48"/>
        </w:rPr>
        <w:t>Curriculum-KAG</w:t>
      </w:r>
    </w:p>
    <w:p w14:paraId="676D0B8C" w14:textId="77777777" w:rsidR="0065347C" w:rsidRPr="0065347C" w:rsidRDefault="0065347C" w:rsidP="006663C8">
      <w:pPr>
        <w:pStyle w:val="ICESTTitle"/>
        <w:rPr>
          <w:rFonts w:cs="Times New Roman"/>
          <w:b/>
          <w:sz w:val="48"/>
          <w:szCs w:val="48"/>
          <w:lang w:val="en-GB" w:eastAsia="en-GB"/>
        </w:rPr>
      </w:pPr>
      <w:r>
        <w:rPr>
          <w:b/>
          <w:color w:val="000000"/>
          <w:sz w:val="48"/>
        </w:rPr>
        <w:t>Evidence-Constrained Curriculum Synthesis with National Expert Data, Semantic Retrieval, and Semester-Aware Planning</w:t>
      </w:r>
    </w:p>
    <w:p w14:paraId="5D60E23C" w14:textId="77777777" w:rsidR="00110ACC" w:rsidRPr="00A1732B" w:rsidRDefault="00110ACC" w:rsidP="006663C8">
      <w:pPr>
        <w:pStyle w:val="ICESTTitle"/>
        <w:rPr>
          <w:rFonts w:cs="Times New Roman"/>
          <w:sz w:val="28"/>
          <w:szCs w:val="46"/>
          <w:lang w:val="en-GB" w:eastAsia="en-GB"/>
        </w:rPr>
      </w:pPr>
    </w:p>
    <w:p w14:paraId="68D3F29C" w14:textId="77777777" w:rsidR="00110ACC" w:rsidRDefault="00110ACC" w:rsidP="00700244">
      <w:pPr>
        <w:keepNext/>
        <w:suppressAutoHyphens/>
        <w:spacing w:after="0" w:line="240" w:lineRule="auto"/>
        <w:jc w:val="center"/>
        <w:rPr>
          <w:rFonts w:ascii="Times New Roman" w:hAnsi="Times New Roman"/>
          <w:noProof/>
          <w:sz w:val="28"/>
          <w:vertAlign w:val="superscript"/>
        </w:rPr>
      </w:pPr>
      <w:r>
        <w:rPr>
          <w:rFonts w:ascii="Times New Roman" w:eastAsia="Times New Roman" w:hAnsi="Times New Roman"/>
          <w:color w:val="000000"/>
          <w:sz w:val="28"/>
        </w:rPr>
        <w:t>Murat Kozhanov</w:t>
      </w:r>
    </w:p>
    <w:p w14:paraId="260F2A35" w14:textId="77777777" w:rsidR="00700244" w:rsidRPr="00700244" w:rsidRDefault="00700244" w:rsidP="00700244">
      <w:pPr>
        <w:keepNext/>
        <w:suppressAutoHyphens/>
        <w:spacing w:after="0" w:line="240" w:lineRule="auto"/>
        <w:jc w:val="center"/>
        <w:rPr>
          <w:rFonts w:ascii="Times New Roman" w:hAnsi="Times New Roman"/>
          <w:noProof/>
          <w:sz w:val="28"/>
        </w:rPr>
      </w:pPr>
    </w:p>
    <w:p w14:paraId="2ED2FD6F" w14:textId="77777777" w:rsidR="00110ACC" w:rsidRPr="00046F08" w:rsidRDefault="00110ACC" w:rsidP="00110ACC">
      <w:pPr>
        <w:suppressAutoHyphens/>
        <w:spacing w:after="0" w:line="200" w:lineRule="exact"/>
        <w:jc w:val="center"/>
        <w:rPr>
          <w:rFonts w:ascii="Times New Roman" w:hAnsi="Times New Roman"/>
          <w:i/>
          <w:noProof/>
        </w:rPr>
      </w:pPr>
      <w:r>
        <w:rPr>
          <w:rFonts w:ascii="Times New Roman" w:eastAsia="Times New Roman" w:hAnsi="Times New Roman"/>
          <w:i/>
          <w:color w:val="000000"/>
          <w:sz w:val="20"/>
        </w:rPr>
        <w:t>Academy of Public Administration under the President of the Republic of Kazakhstan, Astana, Kazakhstan</w:t>
      </w:r>
    </w:p>
    <w:p w14:paraId="6F515E6B" w14:textId="77777777" w:rsidR="00110ACC" w:rsidRPr="00046F08" w:rsidRDefault="00110ACC" w:rsidP="00110ACC">
      <w:pPr>
        <w:suppressAutoHyphens/>
        <w:spacing w:after="0" w:line="200" w:lineRule="exact"/>
        <w:jc w:val="center"/>
        <w:rPr>
          <w:rFonts w:ascii="Times New Roman" w:hAnsi="Times New Roman"/>
          <w:i/>
          <w:noProof/>
        </w:rPr>
      </w:pPr>
      <w:r>
        <w:rPr>
          <w:rFonts w:ascii="Times New Roman" w:eastAsia="Times New Roman" w:hAnsi="Times New Roman"/>
          <w:i/>
          <w:color w:val="000000"/>
          <w:sz w:val="20"/>
        </w:rPr>
        <w:t>Doctoral School of Applied Informatics and Applied Mathematics, Óbuda University, Budapest, Hungary</w:t>
      </w:r>
    </w:p>
    <w:p w14:paraId="1FA01992" w14:textId="77777777" w:rsidR="00110ACC" w:rsidRPr="00572761" w:rsidRDefault="00110ACC" w:rsidP="00110ACC">
      <w:pPr>
        <w:suppressAutoHyphens/>
        <w:spacing w:after="0" w:line="200" w:lineRule="exact"/>
        <w:jc w:val="center"/>
        <w:rPr>
          <w:rFonts w:ascii="Times New Roman" w:hAnsi="Times New Roman"/>
          <w:i/>
          <w:noProof/>
          <w:sz w:val="14"/>
        </w:rPr>
      </w:pPr>
      <w:r>
        <w:rPr>
          <w:rFonts w:ascii="Times New Roman" w:eastAsia="Times New Roman" w:hAnsi="Times New Roman"/>
          <w:i/>
          <w:color w:val="000000"/>
          <w:sz w:val="20"/>
        </w:rPr>
        <w:t>Corresponding author: m.kozhanov@ktu.edu.kz</w:t>
      </w:r>
    </w:p>
    <w:p w14:paraId="5C01C2B0" w14:textId="77777777" w:rsidR="00110ACC" w:rsidRPr="00572761" w:rsidRDefault="00110ACC" w:rsidP="00110ACC">
      <w:pPr>
        <w:pStyle w:val="ICESTTitle"/>
        <w:tabs>
          <w:tab w:val="left" w:pos="500"/>
        </w:tabs>
        <w:jc w:val="left"/>
        <w:rPr>
          <w:rFonts w:cs="Times New Roman"/>
          <w:sz w:val="32"/>
          <w:szCs w:val="46"/>
          <w:lang w:val="en-GB" w:eastAsia="en-GB"/>
        </w:rPr>
      </w:pPr>
    </w:p>
    <w:p w14:paraId="4A96D32C" w14:textId="77777777" w:rsidR="00110ACC" w:rsidRDefault="00110ACC" w:rsidP="00110ACC">
      <w:pPr>
        <w:pStyle w:val="ICESTAbstract"/>
        <w:rPr>
          <w:i/>
          <w:iCs/>
          <w:sz w:val="20"/>
        </w:rPr>
        <w:sectPr w:rsidR="00110ACC" w:rsidSect="00B85B29">
          <w:pgSz w:w="11907" w:h="16839" w:code="9"/>
          <w:pgMar w:top="1138" w:right="1022" w:bottom="1138" w:left="1138" w:header="720" w:footer="432" w:gutter="0"/>
          <w:pgNumType w:start="97"/>
          <w:cols w:space="720"/>
          <w:docGrid w:linePitch="360"/>
        </w:sectPr>
      </w:pPr>
    </w:p>
    <w:p w14:paraId="173014C8" w14:textId="77777777" w:rsidR="00E921BC" w:rsidRDefault="00DD34C6">
      <w:pPr>
        <w:pStyle w:val="ICESTAbstract"/>
        <w:ind w:firstLine="283"/>
      </w:pPr>
      <w:r>
        <w:rPr>
          <w:i/>
          <w:color w:val="000000"/>
          <w:sz w:val="20"/>
        </w:rPr>
        <w:t xml:space="preserve">Abstract - </w:t>
      </w:r>
      <w:r>
        <w:rPr>
          <w:b w:val="0"/>
          <w:color w:val="000000"/>
          <w:sz w:val="20"/>
        </w:rPr>
        <w:t xml:space="preserve">Universities still design </w:t>
      </w:r>
      <w:r>
        <w:rPr>
          <w:b w:val="0"/>
          <w:color w:val="000000"/>
          <w:sz w:val="20"/>
        </w:rPr>
        <w:t>curricula manually by translating a programme goal into learning outcomes, selecting courses, checking credits and prerequisites, and satisfying regulatory rules. We present Curriculum-KAG, a fast decision-support system for generating classical or interdi</w:t>
      </w:r>
      <w:r>
        <w:rPr>
          <w:b w:val="0"/>
          <w:color w:val="000000"/>
          <w:sz w:val="20"/>
        </w:rPr>
        <w:t>sciplinary bachelor's, master's, and doctoral curricula. It combines ten years of expert evidence from Kazakhstan's state higher-education platform, multilingual SBERT/BM25 retrieval, a curriculum knowledge graph, exact-credit optimisation, and independent</w:t>
      </w:r>
      <w:r>
        <w:rPr>
          <w:b w:val="0"/>
          <w:color w:val="000000"/>
          <w:sz w:val="20"/>
        </w:rPr>
        <w:t xml:space="preserve"> constraint verification. The system produces one or three explainable semester plans in international or Kazakhstan-regulated mode while preserving expert control. Experiments demonstrate improved course-LO matching, feasible credits, forward prerequisite</w:t>
      </w:r>
      <w:r>
        <w:rPr>
          <w:b w:val="0"/>
          <w:color w:val="000000"/>
          <w:sz w:val="20"/>
        </w:rPr>
        <w:t>s, and high semester alignment.</w:t>
      </w:r>
    </w:p>
    <w:p w14:paraId="2A99EF4F" w14:textId="77777777" w:rsidR="00E921BC" w:rsidRDefault="00DD34C6">
      <w:pPr>
        <w:pStyle w:val="ICESTAbstract"/>
        <w:ind w:firstLine="283"/>
      </w:pPr>
      <w:r>
        <w:rPr>
          <w:i/>
          <w:color w:val="000000"/>
          <w:sz w:val="20"/>
        </w:rPr>
        <w:t xml:space="preserve">Keywords - </w:t>
      </w:r>
      <w:r>
        <w:rPr>
          <w:b w:val="0"/>
          <w:color w:val="000000"/>
          <w:sz w:val="20"/>
        </w:rPr>
        <w:t>knowledge-augmented generation, curriculum synthesis, learning outcomes, multilingual SBERT, constrained optimisation</w:t>
      </w:r>
    </w:p>
    <w:p w14:paraId="6E7E7B72" w14:textId="77777777" w:rsidR="00E921BC" w:rsidRDefault="00DD34C6">
      <w:pPr>
        <w:keepNext/>
        <w:spacing w:before="120" w:after="40"/>
      </w:pPr>
      <w:r>
        <w:rPr>
          <w:rFonts w:ascii="Times New Roman" w:eastAsia="Times New Roman" w:hAnsi="Times New Roman"/>
          <w:b/>
          <w:color w:val="000000"/>
        </w:rPr>
        <w:t>1. Introduction</w:t>
      </w:r>
    </w:p>
    <w:p w14:paraId="0552A4C7" w14:textId="77777777" w:rsidR="00E921BC" w:rsidRDefault="00DD34C6">
      <w:pPr>
        <w:pStyle w:val="ICESTNormal"/>
        <w:ind w:firstLine="283"/>
      </w:pPr>
      <w:r>
        <w:rPr>
          <w:color w:val="000000"/>
          <w:sz w:val="22"/>
        </w:rPr>
        <w:t xml:space="preserve">Designing an educational programme manually is a multi-stage academic process. </w:t>
      </w:r>
      <w:r>
        <w:rPr>
          <w:color w:val="000000"/>
          <w:sz w:val="22"/>
        </w:rPr>
        <w:t>A programme team first defines the professional profile and purpose of the programme. It then formulates learning outcomes (LOs): concrete statements of what a graduate must know, understand, and be able to perform. Courses are selected to teach and assess</w:t>
      </w:r>
      <w:r>
        <w:rPr>
          <w:color w:val="000000"/>
          <w:sz w:val="22"/>
        </w:rPr>
        <w:t xml:space="preserve"> these outcomes, credits are distributed across semesters, prerequisites are ordered, and the complete structure is checked against education-level, institutional, and regulatory requirements. A course that does not support any programme LO has no defensib</w:t>
      </w:r>
      <w:r>
        <w:rPr>
          <w:color w:val="000000"/>
          <w:sz w:val="22"/>
        </w:rPr>
        <w:t>le place in an outcome-based curriculum [1], [2].</w:t>
      </w:r>
    </w:p>
    <w:p w14:paraId="4E880A2F" w14:textId="77777777" w:rsidR="00E921BC" w:rsidRDefault="00DD34C6">
      <w:pPr>
        <w:pStyle w:val="ICESTNormal"/>
        <w:ind w:firstLine="283"/>
      </w:pPr>
      <w:r>
        <w:rPr>
          <w:color w:val="000000"/>
          <w:sz w:val="22"/>
        </w:rPr>
        <w:t>This work uses the national government database of educational programmes of Kazakhstan, maintained within the state Unified Higher Education Platform. After the first full explanation, the article refers t</w:t>
      </w:r>
      <w:r>
        <w:rPr>
          <w:color w:val="000000"/>
          <w:sz w:val="22"/>
        </w:rPr>
        <w:t xml:space="preserve">o this platform by its established Russian abbreviation EPVO. For approximately ten years, universities have submitted already designed bachelor's, master's, and doctoral programmes, while </w:t>
      </w:r>
      <w:r>
        <w:rPr>
          <w:color w:val="000000"/>
          <w:sz w:val="22"/>
        </w:rPr>
        <w:t>external specialists have evaluated the declared course-to-LO relat</w:t>
      </w:r>
      <w:r>
        <w:rPr>
          <w:color w:val="000000"/>
          <w:sz w:val="22"/>
        </w:rPr>
        <w:t>ionships. The resulting longitudinal corpus contains not only course titles but also real programme structures and accumulated expert judgement.</w:t>
      </w:r>
    </w:p>
    <w:p w14:paraId="53FB8723" w14:textId="77777777" w:rsidR="00E921BC" w:rsidRDefault="00DD34C6">
      <w:pPr>
        <w:pStyle w:val="ICESTNormal"/>
        <w:ind w:firstLine="283"/>
      </w:pPr>
      <w:r>
        <w:rPr>
          <w:color w:val="000000"/>
          <w:sz w:val="22"/>
        </w:rPr>
        <w:t>Curriculum-KAG turns this evidence into a fast programme-design assistant. The user selects classical or interd</w:t>
      </w:r>
      <w:r>
        <w:rPr>
          <w:color w:val="000000"/>
          <w:sz w:val="22"/>
        </w:rPr>
        <w:t>isciplinary mode, education level, one or two professional fields, language, duration, credits, programme goal, and LOs. The system retrieves real courses, estimates course-to-LO relationships, transfers comparable expert evidence, builds a prerequisite gr</w:t>
      </w:r>
      <w:r>
        <w:rPr>
          <w:color w:val="000000"/>
          <w:sz w:val="22"/>
        </w:rPr>
        <w:t>aph, distributes courses across semesters, and returns one or three explainable alternatives. A deterministic verifier checks credits, workload, prerequisite direction, level, domain relevance, local regulatory components, and real LO coverage before a pla</w:t>
      </w:r>
      <w:r>
        <w:rPr>
          <w:color w:val="000000"/>
          <w:sz w:val="22"/>
        </w:rPr>
        <w:t>n can become active.</w:t>
      </w:r>
    </w:p>
    <w:p w14:paraId="737C304A" w14:textId="77777777" w:rsidR="00E921BC" w:rsidRDefault="00DD34C6">
      <w:pPr>
        <w:pStyle w:val="ICESTNormal"/>
        <w:ind w:firstLine="283"/>
      </w:pPr>
      <w:r>
        <w:rPr>
          <w:color w:val="000000"/>
          <w:sz w:val="22"/>
        </w:rPr>
        <w:t>The research question is whether multilingual machine learning, national expert memory, a curriculum knowledge graph, and formal constraints can be combined to produce complete plans that are both useful to a university and independent</w:t>
      </w:r>
      <w:r>
        <w:rPr>
          <w:color w:val="000000"/>
          <w:sz w:val="22"/>
        </w:rPr>
        <w:t>ly verifiable. The principal contribution is not unconstrained text generation; it is an auditable synthesis method in which every course has a source, an LO rationale, a semester reason, and a machine-checkable role in the programme.</w:t>
      </w:r>
    </w:p>
    <w:p w14:paraId="7E557A45" w14:textId="77777777" w:rsidR="00E921BC" w:rsidRDefault="00DD34C6">
      <w:pPr>
        <w:keepNext/>
        <w:spacing w:before="60" w:after="40"/>
      </w:pPr>
      <w:r>
        <w:rPr>
          <w:rFonts w:ascii="Times New Roman" w:eastAsia="Times New Roman" w:hAnsi="Times New Roman"/>
          <w:i/>
          <w:color w:val="000000"/>
          <w:sz w:val="20"/>
        </w:rPr>
        <w:t>1.1. What EPVO Is and</w:t>
      </w:r>
      <w:r>
        <w:rPr>
          <w:rFonts w:ascii="Times New Roman" w:eastAsia="Times New Roman" w:hAnsi="Times New Roman"/>
          <w:i/>
          <w:color w:val="000000"/>
          <w:sz w:val="20"/>
        </w:rPr>
        <w:t xml:space="preserve"> Why It Matters</w:t>
      </w:r>
    </w:p>
    <w:p w14:paraId="30409EC8" w14:textId="77777777" w:rsidR="00E921BC" w:rsidRDefault="00DD34C6">
      <w:pPr>
        <w:pStyle w:val="ICESTNormal"/>
        <w:ind w:firstLine="283"/>
      </w:pPr>
      <w:r>
        <w:rPr>
          <w:color w:val="000000"/>
          <w:sz w:val="22"/>
        </w:rPr>
        <w:t>EPVO is the established Russian-language abbreviation for Kazakhstan's state Unified Higher Education Platform. Its Registry of Educational Programs is the government information system in which universities submit programmes for review and</w:t>
      </w:r>
      <w:r>
        <w:rPr>
          <w:color w:val="000000"/>
          <w:sz w:val="22"/>
        </w:rPr>
        <w:t xml:space="preserve"> registration. For approximately ten years, this process has accumulated a unique longitudinal database of already designed programmes and external expert judgements. EPVO is therefore not a generic course catalogue: it contains programme identity, educati</w:t>
      </w:r>
      <w:r>
        <w:rPr>
          <w:color w:val="000000"/>
          <w:sz w:val="22"/>
        </w:rPr>
        <w:t xml:space="preserve">on level, field and group codes, </w:t>
      </w:r>
      <w:r>
        <w:rPr>
          <w:color w:val="000000"/>
          <w:sz w:val="22"/>
        </w:rPr>
        <w:lastRenderedPageBreak/>
        <w:t>goals, learning outcomes, courses, credits, recommended semesters, descriptions, and course-to-outcome mappings.</w:t>
      </w:r>
    </w:p>
    <w:p w14:paraId="3A181FEB" w14:textId="77777777" w:rsidR="00E921BC" w:rsidRDefault="00DD34C6">
      <w:pPr>
        <w:pStyle w:val="ICESTNormal"/>
        <w:ind w:firstLine="283"/>
      </w:pPr>
      <w:r>
        <w:rPr>
          <w:color w:val="000000"/>
          <w:sz w:val="22"/>
        </w:rPr>
        <w:t>The evidence is produced through an academic lifecycle. A university department first defines a programme goal</w:t>
      </w:r>
      <w:r>
        <w:rPr>
          <w:color w:val="000000"/>
          <w:sz w:val="22"/>
        </w:rPr>
        <w:t xml:space="preserve"> and intended learning outcomes, constructs the curriculum, and declares which courses contribute to which outcomes. External reviewers working in the corresponding field then inspect the submitted programme. For a declared course-to-outcome relation they </w:t>
      </w:r>
      <w:r>
        <w:rPr>
          <w:color w:val="000000"/>
          <w:sz w:val="22"/>
        </w:rPr>
        <w:t>may assign low, medium, or high achievability. In the recovered data these ordinal judgements are encoded as 0, 0.5, and 1. Multiple votes are retained and aggregated rather than converted to a binary yes/no label.</w:t>
      </w:r>
    </w:p>
    <w:p w14:paraId="4A8D5C3A" w14:textId="77777777" w:rsidR="00E921BC" w:rsidRDefault="00DD34C6">
      <w:pPr>
        <w:pStyle w:val="ICESTNormal"/>
        <w:ind w:firstLine="283"/>
      </w:pPr>
      <w:r>
        <w:rPr>
          <w:color w:val="000000"/>
          <w:sz w:val="22"/>
        </w:rPr>
        <w:t>A simple example clarifies the distinctio</w:t>
      </w:r>
      <w:r>
        <w:rPr>
          <w:color w:val="000000"/>
          <w:sz w:val="22"/>
        </w:rPr>
        <w:t>n. If a department links Digital Forensics to an outcome on collecting and preserving digital evidence, SBERT can estimate a new semantic probability from the two texts. EPVO evidence answers a different question: how strongly did reviewers support compara</w:t>
      </w:r>
      <w:r>
        <w:rPr>
          <w:color w:val="000000"/>
          <w:sz w:val="22"/>
        </w:rPr>
        <w:t>ble links in previously submitted programmes? Curriculum-KAG keeps these signals separate, displays both, and admits the course only after education-level, field, credit, prerequisite, and context checks also pass.</w:t>
      </w:r>
    </w:p>
    <w:p w14:paraId="2C17FF74" w14:textId="77777777" w:rsidR="00E921BC" w:rsidRDefault="00DD34C6">
      <w:pPr>
        <w:pStyle w:val="ICESTNormal"/>
        <w:ind w:firstLine="283"/>
      </w:pPr>
      <w:r>
        <w:rPr>
          <w:color w:val="000000"/>
          <w:sz w:val="22"/>
        </w:rPr>
        <w:t>This provenance makes the corpus more val</w:t>
      </w:r>
      <w:r>
        <w:rPr>
          <w:color w:val="000000"/>
          <w:sz w:val="22"/>
        </w:rPr>
        <w:t xml:space="preserve">uable than an unreviewed list of course names, but it does not make every historical decision universally correct. Programmes were created by different institutions, at different times, and for different local contexts. The system therefore treats EPVO as </w:t>
      </w:r>
      <w:r>
        <w:rPr>
          <w:color w:val="000000"/>
          <w:sz w:val="22"/>
        </w:rPr>
        <w:t>expert memory and evidence, not as an oracle. Programme-disjoint evaluation, conservative transfer, independent verification, and human confirmation are used to control memorisation and inappropriate reuse.</w:t>
      </w:r>
    </w:p>
    <w:p w14:paraId="2FAFCB93" w14:textId="77777777" w:rsidR="00E921BC" w:rsidRDefault="00DD34C6">
      <w:pPr>
        <w:pStyle w:val="ICESTNormal"/>
        <w:ind w:firstLine="283"/>
      </w:pPr>
      <w:r>
        <w:rPr>
          <w:color w:val="000000"/>
          <w:sz w:val="22"/>
        </w:rPr>
        <w:t>The abbreviation SCES RK denotes the State Compul</w:t>
      </w:r>
      <w:r>
        <w:rPr>
          <w:color w:val="000000"/>
          <w:sz w:val="22"/>
        </w:rPr>
        <w:t xml:space="preserve">sory Educational Standard of the Republic of Kazakhstan; the Russian abbreviation GOSO RK is also widely used. It specifies protected components for the relevant education level. These components are structurally necessary in the Kazakhstan-compliant mode </w:t>
      </w:r>
      <w:r>
        <w:rPr>
          <w:color w:val="000000"/>
          <w:sz w:val="22"/>
        </w:rPr>
        <w:t>even when they are not ordinary profile courses in EPVO. International and SCES-constrained programmes are consequently evaluated with both complete-plan and profile-only denominators.</w:t>
      </w:r>
    </w:p>
    <w:p w14:paraId="0621965B" w14:textId="77777777" w:rsidR="00E921BC" w:rsidRDefault="00DD34C6">
      <w:pPr>
        <w:keepNext/>
        <w:spacing w:before="120" w:after="40"/>
      </w:pPr>
      <w:r>
        <w:rPr>
          <w:rFonts w:ascii="Times New Roman" w:eastAsia="Times New Roman" w:hAnsi="Times New Roman"/>
          <w:b/>
          <w:color w:val="000000"/>
        </w:rPr>
        <w:t>1.2. Research Hypotheses and Contributions</w:t>
      </w:r>
    </w:p>
    <w:p w14:paraId="5191CD44" w14:textId="77777777" w:rsidR="00E921BC" w:rsidRDefault="00DD34C6">
      <w:pPr>
        <w:pStyle w:val="ICESTNormal"/>
        <w:ind w:firstLine="283"/>
      </w:pPr>
      <w:r>
        <w:rPr>
          <w:color w:val="000000"/>
          <w:sz w:val="22"/>
        </w:rPr>
        <w:t xml:space="preserve">Four hypotheses are tested. </w:t>
      </w:r>
      <w:r>
        <w:rPr>
          <w:color w:val="000000"/>
          <w:sz w:val="22"/>
        </w:rPr>
        <w:t>H1: historical expert evaluations contain a learnable signal, so a model trained on EPVO can distinguish academically supported course-LO pairs better than an unadapted multilingual encoder. H2: when several courses are semantically plausible, expert evide</w:t>
      </w:r>
      <w:r>
        <w:rPr>
          <w:color w:val="000000"/>
          <w:sz w:val="22"/>
        </w:rPr>
        <w:t xml:space="preserve">nce from programmes of the same level and field improves their ranking. H3: a constrained planner can </w:t>
      </w:r>
      <w:r>
        <w:rPr>
          <w:color w:val="000000"/>
          <w:sz w:val="22"/>
        </w:rPr>
        <w:t>transform probabilistic recommendations into complete curricula with the required credits, balanced semesters, forward prerequisites, and no hard violatio</w:t>
      </w:r>
      <w:r>
        <w:rPr>
          <w:color w:val="000000"/>
          <w:sz w:val="22"/>
        </w:rPr>
        <w:t>ns. H4: Kazakhstan-regulated and international programmes must be evaluated separately because protected local components reduce scheduling freedom but should not be counted as irrelevant profile courses.</w:t>
      </w:r>
    </w:p>
    <w:p w14:paraId="617C89FC" w14:textId="77777777" w:rsidR="00E921BC" w:rsidRDefault="00DD34C6">
      <w:pPr>
        <w:pStyle w:val="ICESTNormal"/>
        <w:ind w:firstLine="283"/>
      </w:pPr>
      <w:r>
        <w:rPr>
          <w:color w:val="000000"/>
          <w:sz w:val="22"/>
        </w:rPr>
        <w:t>The first contribution is a reproducible national d</w:t>
      </w:r>
      <w:r>
        <w:rPr>
          <w:color w:val="000000"/>
          <w:sz w:val="22"/>
        </w:rPr>
        <w:t>ataset pipeline in which raw records, normalized entities, approved courses, and generation candidates are separated. The second is a two-stage recommendation architecture: a semantic classifier retrieves plausible links and an expert-memory reranker reord</w:t>
      </w:r>
      <w:r>
        <w:rPr>
          <w:color w:val="000000"/>
          <w:sz w:val="22"/>
        </w:rPr>
        <w:t>ers the shortlist using historical evidence. The third is a graph-aware planner that treats credits, levels, domains, prerequisites, and statutory blocks as constraints rather than after-the-fact warnings.</w:t>
      </w:r>
    </w:p>
    <w:p w14:paraId="01C6720D" w14:textId="77777777" w:rsidR="00E921BC" w:rsidRDefault="00DD34C6">
      <w:pPr>
        <w:pStyle w:val="ICESTNormal"/>
        <w:ind w:firstLine="283"/>
      </w:pPr>
      <w:r>
        <w:rPr>
          <w:color w:val="000000"/>
          <w:sz w:val="22"/>
        </w:rPr>
        <w:t>The fourth contribution is an explanation and feed</w:t>
      </w:r>
      <w:r>
        <w:rPr>
          <w:color w:val="000000"/>
          <w:sz w:val="22"/>
        </w:rPr>
        <w:t>back protocol. Every course can be traced to its source and linked outcomes; model evidence and expert evidence remain distinguishable; uncertain bridge modules are visible; and expert decisions are versioned. The fifth contribution is an independent valid</w:t>
      </w:r>
      <w:r>
        <w:rPr>
          <w:color w:val="000000"/>
          <w:sz w:val="22"/>
        </w:rPr>
        <w:t>ation layer that evaluates the stored plan after generation instead of trusting an internal optimisation score.</w:t>
      </w:r>
    </w:p>
    <w:p w14:paraId="3512069C" w14:textId="77777777" w:rsidR="00E921BC" w:rsidRDefault="00DD34C6">
      <w:pPr>
        <w:pStyle w:val="ICESTNormal"/>
        <w:ind w:firstLine="283"/>
      </w:pPr>
      <w:r>
        <w:rPr>
          <w:color w:val="000000"/>
          <w:sz w:val="22"/>
        </w:rPr>
        <w:t>Unlike a system that asks a language model to write a plausible list of course names, Curriculum-KAG operates over a bounded approved repository</w:t>
      </w:r>
      <w:r>
        <w:rPr>
          <w:color w:val="000000"/>
          <w:sz w:val="22"/>
        </w:rPr>
        <w:t xml:space="preserve"> and preserves whole-course credits. Generative AI is used only in explicitly marked assistance functions. The core curriculum remains reproducible when external APIs are unavailable, a requirement for institutional use and scientific replication. The meth</w:t>
      </w:r>
      <w:r>
        <w:rPr>
          <w:color w:val="000000"/>
          <w:sz w:val="22"/>
        </w:rPr>
        <w:t xml:space="preserve">od extends the author's earlier work on digital educational platforms [17], AI-assisted syllabus design [18], graph and sequence models for curricula [19], and the initial Curriculum-KAG architecture [20]. The prospective evaluation layer can also draw on </w:t>
      </w:r>
      <w:r>
        <w:rPr>
          <w:color w:val="000000"/>
          <w:sz w:val="22"/>
        </w:rPr>
        <w:t>hybrid predictive modelling of educational attainment [21].</w:t>
      </w:r>
    </w:p>
    <w:p w14:paraId="0F9456C2" w14:textId="77777777" w:rsidR="00E921BC" w:rsidRDefault="00DD34C6">
      <w:pPr>
        <w:keepNext/>
        <w:spacing w:before="120" w:after="40"/>
      </w:pPr>
      <w:r>
        <w:rPr>
          <w:rFonts w:ascii="Times New Roman" w:eastAsia="Times New Roman" w:hAnsi="Times New Roman"/>
          <w:b/>
          <w:color w:val="000000"/>
        </w:rPr>
        <w:t>2. Related Work</w:t>
      </w:r>
    </w:p>
    <w:p w14:paraId="48D110EA" w14:textId="77777777" w:rsidR="00E921BC" w:rsidRDefault="00DD34C6">
      <w:pPr>
        <w:pStyle w:val="ICESTNormal"/>
        <w:ind w:firstLine="283"/>
      </w:pPr>
      <w:r>
        <w:rPr>
          <w:color w:val="000000"/>
          <w:sz w:val="22"/>
        </w:rPr>
        <w:t>Sentence-BERT maps sentences to a shared vector space and enables efficient semantic retrieval [3]. Multilingual sentence representations are particularly important for the Kazakhs</w:t>
      </w:r>
      <w:r>
        <w:rPr>
          <w:color w:val="000000"/>
          <w:sz w:val="22"/>
        </w:rPr>
        <w:t>tan context because course titles and descriptions appear in Kazakh, Russian, and English. BM25 complements dense retrieval by preserving exact technical expressions that may be diluted in a sentence embedding [4]. Knowledge-augmented generation extends re</w:t>
      </w:r>
      <w:r>
        <w:rPr>
          <w:color w:val="000000"/>
          <w:sz w:val="22"/>
        </w:rPr>
        <w:t>trieval by attaching structured entities, provenance, and rules to retrieved text [5].</w:t>
      </w:r>
    </w:p>
    <w:p w14:paraId="1782C2F1" w14:textId="77777777" w:rsidR="00E921BC" w:rsidRDefault="00DD34C6">
      <w:pPr>
        <w:pStyle w:val="ICESTNormal"/>
        <w:ind w:firstLine="283"/>
      </w:pPr>
      <w:r>
        <w:rPr>
          <w:color w:val="000000"/>
          <w:sz w:val="22"/>
        </w:rPr>
        <w:lastRenderedPageBreak/>
        <w:t>Curriculum construction also resembles multi-objective optimisation. Coverage, relevance, diversity, and interdisciplinarity must be maximised while credit deviation, du</w:t>
      </w:r>
      <w:r>
        <w:rPr>
          <w:color w:val="000000"/>
          <w:sz w:val="22"/>
        </w:rPr>
        <w:t xml:space="preserve">plication, prerequisite violations, and domain imbalance are minimised. NSGA-II provides a useful experimental Pareto-search branch [6], but the operational path in this study is a deterministic constrained planner with repair heuristics. This distinction </w:t>
      </w:r>
      <w:r>
        <w:rPr>
          <w:color w:val="000000"/>
          <w:sz w:val="22"/>
        </w:rPr>
        <w:t>improves reproducibility: the same input can be regenerated and independently verified, while evolutionary search remains available for controlled comparison.</w:t>
      </w:r>
    </w:p>
    <w:p w14:paraId="0E7D5A8A" w14:textId="77777777" w:rsidR="00E921BC" w:rsidRDefault="00DD34C6">
      <w:pPr>
        <w:pStyle w:val="ICESTNormal"/>
        <w:ind w:firstLine="283"/>
      </w:pPr>
      <w:r>
        <w:rPr>
          <w:color w:val="000000"/>
          <w:sz w:val="22"/>
        </w:rPr>
        <w:t>Graph neural networks and recurrent architectures can represent curricular dependencies, but high</w:t>
      </w:r>
      <w:r>
        <w:rPr>
          <w:color w:val="000000"/>
          <w:sz w:val="22"/>
        </w:rPr>
        <w:t>er complexity is not automatically beneficial. Controlled GNN and LSTM pilots did not outperform the semantic baseline on the available frozen splits. The production pipeline therefore retains SBERT-based retrieval and uses graph reasoning for prerequisite</w:t>
      </w:r>
      <w:r>
        <w:rPr>
          <w:color w:val="000000"/>
          <w:sz w:val="22"/>
        </w:rPr>
        <w:t xml:space="preserve"> closure and verification rather than promoting an unconfirmed neural architecture [7]-[9].</w:t>
      </w:r>
    </w:p>
    <w:p w14:paraId="7A072271" w14:textId="77777777" w:rsidR="00E921BC" w:rsidRDefault="00DD34C6">
      <w:pPr>
        <w:keepNext/>
        <w:spacing w:before="60" w:after="40"/>
      </w:pPr>
      <w:r>
        <w:rPr>
          <w:rFonts w:ascii="Times New Roman" w:eastAsia="Times New Roman" w:hAnsi="Times New Roman"/>
          <w:i/>
          <w:color w:val="000000"/>
          <w:sz w:val="20"/>
        </w:rPr>
        <w:t>2.1. Why the System Is Called KAG</w:t>
      </w:r>
    </w:p>
    <w:p w14:paraId="7EC13FBC" w14:textId="77777777" w:rsidR="00E921BC" w:rsidRDefault="00DD34C6">
      <w:pPr>
        <w:pStyle w:val="ICESTNormal"/>
        <w:ind w:firstLine="283"/>
      </w:pPr>
      <w:r>
        <w:rPr>
          <w:color w:val="000000"/>
          <w:sz w:val="22"/>
        </w:rPr>
        <w:t xml:space="preserve">Retrieval-Augmented Generation (RAG) usually retrieves relevant text fragments and provides them as context to a </w:t>
      </w:r>
      <w:r>
        <w:rPr>
          <w:color w:val="000000"/>
          <w:sz w:val="22"/>
        </w:rPr>
        <w:t>generative model. This improves factual grounding, but the retrieved passages do not by themselves express which course precedes another, which learning outcome is supported, which expert supplied the evidence, or whether the complete plan satisfies credit</w:t>
      </w:r>
      <w:r>
        <w:rPr>
          <w:color w:val="000000"/>
          <w:sz w:val="22"/>
        </w:rPr>
        <w:t>s and regulation. RAG can answer a question from documents; it does not automatically construct a valid curriculum.</w:t>
      </w:r>
    </w:p>
    <w:p w14:paraId="56B704B5" w14:textId="77777777" w:rsidR="00E921BC" w:rsidRDefault="00DD34C6">
      <w:pPr>
        <w:pStyle w:val="ICESTNormal"/>
        <w:ind w:firstLine="283"/>
      </w:pPr>
      <w:r>
        <w:rPr>
          <w:color w:val="000000"/>
          <w:sz w:val="22"/>
        </w:rPr>
        <w:t>Knowledge-Augmented Generation (KAG) adds structured knowledge to retrieval. In Curriculum-KAG, the knowledge layer contains canonical cours</w:t>
      </w:r>
      <w:r>
        <w:rPr>
          <w:color w:val="000000"/>
          <w:sz w:val="22"/>
        </w:rPr>
        <w:t xml:space="preserve">es, programme levels and fields, graded expert course-LO links, prerequisite and postrequisite edges, domain membership, regulatory status, credit values, semester evidence, and provenance. Retrieved candidates are expanded and filtered through this graph </w:t>
      </w:r>
      <w:r>
        <w:rPr>
          <w:color w:val="000000"/>
          <w:sz w:val="22"/>
        </w:rPr>
        <w:t>before the constrained planner acts. The final verifier then checks the complete stored plan.</w:t>
      </w:r>
    </w:p>
    <w:p w14:paraId="463C85DF" w14:textId="77777777" w:rsidR="00E921BC" w:rsidRDefault="00DD34C6">
      <w:pPr>
        <w:pStyle w:val="ICESTNormal"/>
        <w:ind w:firstLine="283"/>
      </w:pPr>
      <w:r>
        <w:rPr>
          <w:color w:val="000000"/>
          <w:sz w:val="22"/>
        </w:rPr>
        <w:t xml:space="preserve">KAG is therefore better suited than plain RAG to this specific engineering task, not universally better for every language application. The advantage is </w:t>
      </w:r>
      <w:r>
        <w:rPr>
          <w:color w:val="000000"/>
          <w:sz w:val="22"/>
        </w:rPr>
        <w:t>relational and operational: the system can explain why a course was selected, identify what must be studied before and after it, distinguish a real EPVO course from a synthetic bridge, and reject an attractive textual answer that violates academic constrai</w:t>
      </w:r>
      <w:r>
        <w:rPr>
          <w:color w:val="000000"/>
          <w:sz w:val="22"/>
        </w:rPr>
        <w:t>nts. This article develops the earlier Curriculum-KAG concept [20] into a universal generator for both classical and two-domain interdisciplinary programmes.</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65B5D5CA" w14:textId="77777777">
        <w:trPr>
          <w:jc w:val="center"/>
        </w:trPr>
        <w:tc>
          <w:tcPr>
            <w:tcW w:w="9747" w:type="dxa"/>
            <w:shd w:val="clear" w:color="auto" w:fill="F2F2F2"/>
            <w:tcMar>
              <w:top w:w="180" w:type="dxa"/>
              <w:left w:w="160" w:type="dxa"/>
              <w:bottom w:w="180" w:type="dxa"/>
              <w:right w:w="160" w:type="dxa"/>
            </w:tcMar>
          </w:tcPr>
          <w:p w14:paraId="1AE887FE" w14:textId="77777777" w:rsidR="00E921BC" w:rsidRDefault="00DD34C6">
            <w:pPr>
              <w:jc w:val="center"/>
            </w:pPr>
            <w:r>
              <w:rPr>
                <w:rFonts w:ascii="Times New Roman" w:eastAsia="Times New Roman" w:hAnsi="Times New Roman"/>
                <w:b/>
                <w:color w:val="000000"/>
                <w:sz w:val="20"/>
              </w:rPr>
              <w:t>Figure 1 placeholder</w:t>
            </w:r>
          </w:p>
        </w:tc>
      </w:tr>
    </w:tbl>
    <w:p w14:paraId="0BD7A145" w14:textId="77777777" w:rsidR="00E921BC" w:rsidRDefault="00DD34C6">
      <w:pPr>
        <w:pStyle w:val="ICESTNormal"/>
        <w:ind w:firstLine="0"/>
        <w:jc w:val="center"/>
      </w:pPr>
      <w:r>
        <w:rPr>
          <w:i/>
          <w:color w:val="000000"/>
        </w:rPr>
        <w:t>Figure 1. Why Curriculum-KAG extends plain RAG.</w:t>
      </w:r>
    </w:p>
    <w:p w14:paraId="6A528358" w14:textId="77777777" w:rsidR="00E921BC" w:rsidRDefault="00DD34C6">
      <w:pPr>
        <w:pStyle w:val="ICESTNormal"/>
        <w:ind w:firstLine="0"/>
      </w:pPr>
      <w:r>
        <w:rPr>
          <w:b/>
          <w:color w:val="000000"/>
          <w:sz w:val="16"/>
        </w:rPr>
        <w:t>Draft image-generation promp</w:t>
      </w:r>
      <w:r>
        <w:rPr>
          <w:b/>
          <w:color w:val="000000"/>
          <w:sz w:val="16"/>
        </w:rPr>
        <w:t xml:space="preserve">t (remove before submission): </w:t>
      </w:r>
      <w:r>
        <w:rPr>
          <w:i/>
          <w:color w:val="000000"/>
          <w:sz w:val="16"/>
        </w:rPr>
        <w:t xml:space="preserve">Create a publication-grade two-panel vector comparison for a Q2 scientific journal, landscape 16:9, white background. Left panel titled 'RAG': a user query enters a vector search, three unstructured text chunks are retrieved, </w:t>
      </w:r>
      <w:r>
        <w:rPr>
          <w:i/>
          <w:color w:val="000000"/>
          <w:sz w:val="16"/>
        </w:rPr>
        <w:t>and an LLM produces a plausible answer; show dashed warning icons for missing prerequisite relations, credit validation, expert provenance, and regulatory rules. Right panel titled 'Curriculum-KAG': programme goal and learning outcomes enter hybrid SBERT+B</w:t>
      </w:r>
      <w:r>
        <w:rPr>
          <w:i/>
          <w:color w:val="000000"/>
          <w:sz w:val="16"/>
        </w:rPr>
        <w:t>M25 retrieval; retrieved courses connect to a typed knowledge graph with nodes for courses, LOs, domains, semesters, experts, and regulations; arrows pass through constrained planning and an independent verifier to one or three valid curriculum variants. A</w:t>
      </w:r>
      <w:r>
        <w:rPr>
          <w:i/>
          <w:color w:val="000000"/>
          <w:sz w:val="16"/>
        </w:rPr>
        <w:t>dd a bottom strip: 'retrieval + relations + provenance + constraints + verification'. Use navy for retrieval, teal for knowledge, amber for constraints, green for verified output. No robots, brains, neon, 3D, or invented metrics. All labels in English; edi</w:t>
      </w:r>
      <w:r>
        <w:rPr>
          <w:i/>
          <w:color w:val="000000"/>
          <w:sz w:val="16"/>
        </w:rPr>
        <w:t>table SVG plus 300-dpi PNG; readable at one journal-column width.</w:t>
      </w:r>
    </w:p>
    <w:p w14:paraId="7A85B868" w14:textId="77777777" w:rsidR="00E921BC" w:rsidRDefault="00DD34C6">
      <w:pPr>
        <w:keepNext/>
        <w:spacing w:before="120" w:after="40"/>
      </w:pPr>
      <w:r>
        <w:rPr>
          <w:rFonts w:ascii="Times New Roman" w:eastAsia="Times New Roman" w:hAnsi="Times New Roman"/>
          <w:b/>
          <w:color w:val="000000"/>
        </w:rPr>
        <w:t>3. Data and Provenance</w:t>
      </w:r>
    </w:p>
    <w:p w14:paraId="77006E21" w14:textId="77777777" w:rsidR="00E921BC" w:rsidRDefault="00DD34C6">
      <w:pPr>
        <w:pStyle w:val="ICESTNormal"/>
        <w:ind w:firstLine="283"/>
      </w:pPr>
      <w:r>
        <w:rPr>
          <w:color w:val="000000"/>
          <w:sz w:val="22"/>
        </w:rPr>
        <w:t>The source corpus was collected from the public Registry of Educational Programs within the Unified Higher Education Platform. The registry reflects a two-stage academ</w:t>
      </w:r>
      <w:r>
        <w:rPr>
          <w:color w:val="000000"/>
          <w:sz w:val="22"/>
        </w:rPr>
        <w:t>ic process. First, university departments formulate a programme and map courses to learning outcomes. Second, external experts review these mappings and assign low, medium, or high achievability. The recovered numerical values 0, 0.5, and 1 therefore repre</w:t>
      </w:r>
      <w:r>
        <w:rPr>
          <w:color w:val="000000"/>
          <w:sz w:val="22"/>
        </w:rPr>
        <w:t>sent expert relationship strength rather than neural-model confidence.</w:t>
      </w:r>
    </w:p>
    <w:p w14:paraId="668DEE08" w14:textId="77777777" w:rsidR="00E921BC" w:rsidRDefault="00DD34C6">
      <w:pPr>
        <w:pStyle w:val="ICESTNormal"/>
        <w:ind w:firstLine="283"/>
      </w:pPr>
      <w:r>
        <w:rPr>
          <w:color w:val="000000"/>
          <w:sz w:val="22"/>
        </w:rPr>
        <w:t>The data pipeline preserves four layers: immutable raw EPVO records; normalized and deduplicated programmes, courses, outcomes, directions, and expert links; an approved multilingual co</w:t>
      </w:r>
      <w:r>
        <w:rPr>
          <w:color w:val="000000"/>
          <w:sz w:val="22"/>
        </w:rPr>
        <w:t>urse repository; and project-scoped generation candidates. This separation prevents raw imports from contaminating active curricula and makes every selected course traceable to its source. The operational PostgreSQL/pgvector repository stores three-languag</w:t>
      </w:r>
      <w:r>
        <w:rPr>
          <w:color w:val="000000"/>
          <w:sz w:val="22"/>
        </w:rPr>
        <w:t>e titles and descriptions, embeddings, prerequisite edges, model scores, expert feedback, and versioned plans.</w:t>
      </w:r>
    </w:p>
    <w:p w14:paraId="6DF1A775" w14:textId="77777777" w:rsidR="00E921BC" w:rsidRDefault="00DD34C6">
      <w:pPr>
        <w:pStyle w:val="ICESTNormal"/>
        <w:ind w:firstLine="283"/>
      </w:pPr>
      <w:r>
        <w:rPr>
          <w:color w:val="000000"/>
          <w:sz w:val="22"/>
        </w:rPr>
        <w:t>Programme-level train, validation, and test splits were used to reduce contextual leakage. All cards originating from one educational programme r</w:t>
      </w:r>
      <w:r>
        <w:rPr>
          <w:color w:val="000000"/>
          <w:sz w:val="22"/>
        </w:rPr>
        <w:t>emain in the same split. Model thresholds and mixture weights are selected on validation data and then frozen before test evaluation. Dataset and model reports retain the seed, configuration, checksums, and split identifiers.</w:t>
      </w:r>
    </w:p>
    <w:p w14:paraId="6AB22BB0" w14:textId="77777777" w:rsidR="00E921BC" w:rsidRDefault="00DD34C6">
      <w:pPr>
        <w:keepNext/>
        <w:spacing w:before="60" w:after="40"/>
      </w:pPr>
      <w:r>
        <w:rPr>
          <w:rFonts w:ascii="Times New Roman" w:eastAsia="Times New Roman" w:hAnsi="Times New Roman"/>
          <w:i/>
          <w:color w:val="000000"/>
          <w:sz w:val="20"/>
        </w:rPr>
        <w:t>3.1. Formal Data Model</w:t>
      </w:r>
    </w:p>
    <w:p w14:paraId="5042E643" w14:textId="77777777" w:rsidR="00E921BC" w:rsidRDefault="00DD34C6">
      <w:pPr>
        <w:pStyle w:val="ICESTNormal"/>
        <w:ind w:firstLine="283"/>
      </w:pPr>
      <w:r>
        <w:rPr>
          <w:color w:val="000000"/>
          <w:sz w:val="22"/>
        </w:rPr>
        <w:t>A progr</w:t>
      </w:r>
      <w:r>
        <w:rPr>
          <w:color w:val="000000"/>
          <w:sz w:val="22"/>
        </w:rPr>
        <w:t xml:space="preserve">amme p is represented by its education level </w:t>
      </w:r>
      <w:r>
        <w:rPr>
          <w:rFonts w:ascii="Cambria Math" w:eastAsia="Cambria Math" w:hAnsi="Cambria Math"/>
          <w:i/>
          <w:color w:val="000000"/>
          <w:sz w:val="22"/>
        </w:rPr>
        <w:t>h</w:t>
      </w:r>
      <w:r>
        <w:rPr>
          <w:rFonts w:ascii="Cambria Math" w:eastAsia="Cambria Math" w:hAnsi="Cambria Math"/>
          <w:i/>
          <w:color w:val="000000"/>
          <w:sz w:val="22"/>
          <w:vertAlign w:val="subscript"/>
        </w:rPr>
        <w:t>p</w:t>
      </w:r>
      <w:r>
        <w:rPr>
          <w:color w:val="000000"/>
          <w:sz w:val="22"/>
        </w:rPr>
        <w:t xml:space="preserve">, field </w:t>
      </w:r>
      <w:r>
        <w:rPr>
          <w:rFonts w:ascii="Cambria Math" w:eastAsia="Cambria Math" w:hAnsi="Cambria Math"/>
          <w:i/>
          <w:color w:val="000000"/>
          <w:sz w:val="22"/>
        </w:rPr>
        <w:t>d</w:t>
      </w:r>
      <w:r>
        <w:rPr>
          <w:rFonts w:ascii="Cambria Math" w:eastAsia="Cambria Math" w:hAnsi="Cambria Math"/>
          <w:i/>
          <w:color w:val="000000"/>
          <w:sz w:val="22"/>
          <w:vertAlign w:val="subscript"/>
        </w:rPr>
        <w:t>p</w:t>
      </w:r>
      <w:r>
        <w:rPr>
          <w:color w:val="000000"/>
          <w:sz w:val="22"/>
        </w:rPr>
        <w:t xml:space="preserve">, educational-program group </w:t>
      </w:r>
      <w:r>
        <w:rPr>
          <w:rFonts w:ascii="Cambria Math" w:eastAsia="Cambria Math" w:hAnsi="Cambria Math"/>
          <w:i/>
          <w:color w:val="000000"/>
          <w:sz w:val="22"/>
        </w:rPr>
        <w:t>b</w:t>
      </w:r>
      <w:r>
        <w:rPr>
          <w:rFonts w:ascii="Cambria Math" w:eastAsia="Cambria Math" w:hAnsi="Cambria Math"/>
          <w:i/>
          <w:color w:val="000000"/>
          <w:sz w:val="22"/>
          <w:vertAlign w:val="subscript"/>
        </w:rPr>
        <w:t>p</w:t>
      </w:r>
      <w:r>
        <w:rPr>
          <w:color w:val="000000"/>
          <w:sz w:val="22"/>
        </w:rPr>
        <w:t xml:space="preserve">, goal text, learning-outcome set </w:t>
      </w:r>
      <w:r>
        <w:rPr>
          <w:rFonts w:ascii="Cambria Math" w:eastAsia="Cambria Math" w:hAnsi="Cambria Math"/>
          <w:i/>
          <w:color w:val="000000"/>
          <w:sz w:val="22"/>
        </w:rPr>
        <w:t>O</w:t>
      </w:r>
      <w:r>
        <w:rPr>
          <w:rFonts w:ascii="Cambria Math" w:eastAsia="Cambria Math" w:hAnsi="Cambria Math"/>
          <w:i/>
          <w:color w:val="000000"/>
          <w:sz w:val="22"/>
          <w:vertAlign w:val="subscript"/>
        </w:rPr>
        <w:t>p</w:t>
      </w:r>
      <w:r>
        <w:rPr>
          <w:color w:val="000000"/>
          <w:sz w:val="22"/>
        </w:rPr>
        <w:t xml:space="preserve">, and original course set </w:t>
      </w:r>
      <w:r>
        <w:rPr>
          <w:rFonts w:ascii="Cambria Math" w:eastAsia="Cambria Math" w:hAnsi="Cambria Math"/>
          <w:i/>
          <w:color w:val="000000"/>
          <w:sz w:val="22"/>
        </w:rPr>
        <w:t>C</w:t>
      </w:r>
      <w:r>
        <w:rPr>
          <w:rFonts w:ascii="Cambria Math" w:eastAsia="Cambria Math" w:hAnsi="Cambria Math"/>
          <w:i/>
          <w:color w:val="000000"/>
          <w:sz w:val="22"/>
          <w:vertAlign w:val="subscript"/>
        </w:rPr>
        <w:t>p</w:t>
      </w:r>
      <w:r>
        <w:rPr>
          <w:color w:val="000000"/>
          <w:sz w:val="22"/>
        </w:rPr>
        <w:t>. A raw course record stores a title, multilingual description, credits, component type, typical semester</w:t>
      </w:r>
      <w:r>
        <w:rPr>
          <w:color w:val="000000"/>
          <w:sz w:val="22"/>
        </w:rPr>
        <w:t>, and declared links to outcomes. A normalized course is a canonical entity connected to one or more source records. This many-to-one relation preserves provenance while preventing duplicate titles from occupying multiple places in a generated plan.</w:t>
      </w:r>
    </w:p>
    <w:p w14:paraId="318884B0" w14:textId="77777777" w:rsidR="00E921BC" w:rsidRDefault="00DD34C6">
      <w:pPr>
        <w:pStyle w:val="ICESTNormal"/>
        <w:ind w:firstLine="283"/>
      </w:pPr>
      <w:r>
        <w:rPr>
          <w:color w:val="000000"/>
          <w:sz w:val="22"/>
        </w:rPr>
        <w:t>An exp</w:t>
      </w:r>
      <w:r>
        <w:rPr>
          <w:color w:val="000000"/>
          <w:sz w:val="22"/>
        </w:rPr>
        <w:t>ert observation is a tuple (p,c,l,e), where course c was evaluated against source learning outcome l in programme p and e belongs to {0,0.5,1}. The same canonical course may therefore receive different judgements in different programmes. The method never r</w:t>
      </w:r>
      <w:r>
        <w:rPr>
          <w:color w:val="000000"/>
          <w:sz w:val="22"/>
        </w:rPr>
        <w:t>eplaces this contextual distribution with a single global truth; it uses a programme-scoped aggregate first and a broader aggregate only as fallback.</w:t>
      </w:r>
    </w:p>
    <w:p w14:paraId="5D572070" w14:textId="77777777" w:rsidR="00E921BC" w:rsidRDefault="00DD34C6">
      <w:pPr>
        <w:pStyle w:val="ICESTNormal"/>
        <w:ind w:firstLine="283"/>
      </w:pPr>
      <w:r>
        <w:rPr>
          <w:color w:val="000000"/>
          <w:sz w:val="22"/>
        </w:rPr>
        <w:t>The operational repository is produced through the sequence raw EPVO -&gt; normalized EPVO -&gt; approved multil</w:t>
      </w:r>
      <w:r>
        <w:rPr>
          <w:color w:val="000000"/>
          <w:sz w:val="22"/>
        </w:rPr>
        <w:t>ingual repository -&gt; project-scoped candidates. Raw objects and checksums are immutable. Normalization standardises whitespace, codes, credit formats, and multilingual fingerprints. Approval establishes a usable canonical record. Project scoping then filte</w:t>
      </w:r>
      <w:r>
        <w:rPr>
          <w:color w:val="000000"/>
          <w:sz w:val="22"/>
        </w:rPr>
        <w:t>rs by level, selected direction and group before semantic ranking begins.</w:t>
      </w:r>
    </w:p>
    <w:p w14:paraId="728453FB" w14:textId="77777777" w:rsidR="00E921BC" w:rsidRDefault="00DD34C6">
      <w:pPr>
        <w:pStyle w:val="ICESTNormal"/>
        <w:ind w:firstLine="283"/>
      </w:pPr>
      <w:r>
        <w:rPr>
          <w:color w:val="000000"/>
          <w:sz w:val="22"/>
        </w:rPr>
        <w:t xml:space="preserve">This layered design supports a dataset passport. The passport records extraction time, source checksum, schema version, language completeness, duplicates, label </w:t>
      </w:r>
      <w:r>
        <w:rPr>
          <w:color w:val="000000"/>
          <w:sz w:val="22"/>
        </w:rPr>
        <w:t>distribution, split assignment, and known limitations. The model benchmark records model identifier, seed, threshold, configuration checksum, and the exact programme identifiers used in train, validation, and test sets.</w:t>
      </w:r>
    </w:p>
    <w:p w14:paraId="5996C895" w14:textId="77777777" w:rsidR="00E921BC" w:rsidRDefault="00DD34C6">
      <w:pPr>
        <w:keepNext/>
        <w:spacing w:before="60" w:after="40"/>
      </w:pPr>
      <w:r>
        <w:rPr>
          <w:rFonts w:ascii="Times New Roman" w:eastAsia="Times New Roman" w:hAnsi="Times New Roman"/>
          <w:i/>
          <w:color w:val="000000"/>
          <w:sz w:val="20"/>
        </w:rPr>
        <w:t>3.2. Expert-Label Reconstruction and</w:t>
      </w:r>
      <w:r>
        <w:rPr>
          <w:rFonts w:ascii="Times New Roman" w:eastAsia="Times New Roman" w:hAnsi="Times New Roman"/>
          <w:i/>
          <w:color w:val="000000"/>
          <w:sz w:val="20"/>
        </w:rPr>
        <w:t xml:space="preserve"> Leakage Control</w:t>
      </w:r>
    </w:p>
    <w:p w14:paraId="0899D479" w14:textId="77777777" w:rsidR="00E921BC" w:rsidRDefault="00DD34C6">
      <w:pPr>
        <w:pStyle w:val="ICESTNormal"/>
        <w:ind w:firstLine="283"/>
      </w:pPr>
      <w:r>
        <w:rPr>
          <w:color w:val="000000"/>
          <w:sz w:val="22"/>
        </w:rPr>
        <w:t xml:space="preserve">The recovered external judgements were initially at risk of being collapsed into a binary relation during normalization. The corrected pipeline preserves the graded values. In total, 876,842 source votes were aggregated into 800,793 </w:t>
      </w:r>
      <w:r>
        <w:rPr>
          <w:color w:val="000000"/>
          <w:sz w:val="22"/>
        </w:rPr>
        <w:t>contextual course-LO pairs; these form an evidence feature and an evaluation target, not an automatic curriculum decision.</w:t>
      </w:r>
    </w:p>
    <w:p w14:paraId="1078DF5B" w14:textId="77777777" w:rsidR="00E921BC" w:rsidRDefault="00DD34C6">
      <w:pPr>
        <w:pStyle w:val="ICESTNormal"/>
        <w:ind w:firstLine="283"/>
      </w:pPr>
      <w:r>
        <w:rPr>
          <w:color w:val="000000"/>
          <w:sz w:val="22"/>
        </w:rPr>
        <w:t xml:space="preserve">Cards from the same educational programme are never split across training and testing. This programme-disjoint rule is stricter than </w:t>
      </w:r>
      <w:r>
        <w:rPr>
          <w:color w:val="000000"/>
          <w:sz w:val="22"/>
        </w:rPr>
        <w:t>random pair splitting because courses and outcomes inside one programme share vocabulary and structure. Without grouping, near-duplicate context could produce an optimistic estimate of generalisation. Thresholds, mixture weights, and early stopping are cho</w:t>
      </w:r>
      <w:r>
        <w:rPr>
          <w:color w:val="000000"/>
          <w:sz w:val="22"/>
        </w:rPr>
        <w:t>sen on validation programmes and frozen before the test programmes are scored.</w:t>
      </w:r>
    </w:p>
    <w:p w14:paraId="081D5EC8" w14:textId="77777777" w:rsidR="00E921BC" w:rsidRDefault="00DD34C6">
      <w:pPr>
        <w:pStyle w:val="ICESTNormal"/>
        <w:ind w:firstLine="283"/>
      </w:pPr>
      <w:r>
        <w:rPr>
          <w:color w:val="000000"/>
          <w:sz w:val="22"/>
        </w:rPr>
        <w:t>Negative examples are sampled within the same education level and a related field whenever possible. Such examples are harder than random cross-domain pairs and better approxima</w:t>
      </w:r>
      <w:r>
        <w:rPr>
          <w:color w:val="000000"/>
          <w:sz w:val="22"/>
        </w:rPr>
        <w:t>te the practical ranking task: the system must distinguish several plausible courses, not merely separate medicine from an unrelated engineering outcome. Experimental programme-scoped memory and ranking-loss branches are evaluated separately from the opera</w:t>
      </w:r>
      <w:r>
        <w:rPr>
          <w:color w:val="000000"/>
          <w:sz w:val="22"/>
        </w:rPr>
        <w:t>tional classifier.</w:t>
      </w:r>
    </w:p>
    <w:p w14:paraId="69C9E563" w14:textId="40484B9D"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y</m:t>
              </m:r>
            </m:e>
            <m:sub>
              <m:r>
                <w:rPr>
                  <w:rFonts w:ascii="Cambria Math" w:eastAsia="Cambria Math" w:hAnsi="Cambria Math"/>
                  <w:color w:val="000000"/>
                  <w:sz w:val="18"/>
                </w:rPr>
                <m:t>pcl</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r>
                <w:rPr>
                  <w:rFonts w:ascii="Cambria Math" w:eastAsia="Cambria Math" w:hAnsi="Cambria Math"/>
                  <w:color w:val="000000"/>
                  <w:sz w:val="18"/>
                </w:rPr>
                <m:t>1</m:t>
              </m:r>
            </m:num>
            <m:den>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pcl</m:t>
                      </m:r>
                    </m:sub>
                  </m:sSub>
                </m:e>
              </m:d>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e∈</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pcl</m:t>
                          </m:r>
                        </m:sub>
                      </m:sSub>
                    </m:e>
                  </m:d>
                  <m:r>
                    <w:rPr>
                      <w:rFonts w:ascii="Cambria Math" w:eastAsia="Cambria Math" w:hAnsi="Cambria Math"/>
                      <w:color w:val="000000"/>
                      <w:sz w:val="18"/>
                    </w:rPr>
                    <m:t>e</m:t>
                  </m:r>
                </m:sub>
                <m:sup/>
                <m:e/>
              </m:nary>
            </m:den>
          </m:f>
        </m:oMath>
      </m:oMathPara>
    </w:p>
    <w:p w14:paraId="0171F2CA" w14:textId="77777777" w:rsidR="00E921BC" w:rsidRDefault="00DD34C6">
      <w:pPr>
        <w:pStyle w:val="ICESTNormal"/>
        <w:keepNext/>
        <w:spacing w:after="20" w:line="192" w:lineRule="auto"/>
        <w:ind w:firstLine="0"/>
        <w:jc w:val="right"/>
      </w:pPr>
      <w:r>
        <w:rPr>
          <w:color w:val="000000"/>
          <w:sz w:val="16"/>
        </w:rPr>
        <w:t>(1)</w:t>
      </w:r>
    </w:p>
    <w:p w14:paraId="0B7BF179" w14:textId="77777777" w:rsidR="00E921BC" w:rsidRDefault="00DD34C6">
      <w:pPr>
        <w:pStyle w:val="ICESTNormal"/>
        <w:spacing w:after="40"/>
        <w:ind w:firstLine="0"/>
      </w:pPr>
      <w:r>
        <w:rPr>
          <w:i/>
          <w:color w:val="000000"/>
          <w:sz w:val="18"/>
        </w:rPr>
        <w:t xml:space="preserve">Here </w:t>
      </w:r>
      <w:r>
        <w:rPr>
          <w:rFonts w:ascii="Cambria Math" w:eastAsia="Cambria Math" w:hAnsi="Cambria Math"/>
          <w:i/>
          <w:color w:val="000000"/>
          <w:sz w:val="18"/>
        </w:rPr>
        <w:t>E</w:t>
      </w:r>
      <w:r>
        <w:rPr>
          <w:rFonts w:ascii="Cambria Math" w:eastAsia="Cambria Math" w:hAnsi="Cambria Math"/>
          <w:i/>
          <w:color w:val="000000"/>
          <w:sz w:val="18"/>
          <w:vertAlign w:val="subscript"/>
        </w:rPr>
        <w:t>pcl</w:t>
      </w:r>
      <w:r>
        <w:rPr>
          <w:i/>
          <w:color w:val="000000"/>
          <w:sz w:val="18"/>
        </w:rPr>
        <w:t xml:space="preserve"> is the set of external votes for programme p, course c, and source outcome l; </w:t>
      </w:r>
      <w:r>
        <w:rPr>
          <w:rFonts w:ascii="Cambria Math" w:eastAsia="Cambria Math" w:hAnsi="Cambria Math"/>
          <w:i/>
          <w:color w:val="000000"/>
          <w:sz w:val="18"/>
        </w:rPr>
        <w:t>y</w:t>
      </w:r>
      <w:r>
        <w:rPr>
          <w:rFonts w:ascii="Cambria Math" w:eastAsia="Cambria Math" w:hAnsi="Cambria Math"/>
          <w:i/>
          <w:color w:val="000000"/>
          <w:sz w:val="18"/>
          <w:vertAlign w:val="subscript"/>
        </w:rPr>
        <w:t>pcl</w:t>
      </w:r>
      <w:r>
        <w:rPr>
          <w:i/>
          <w:color w:val="000000"/>
          <w:sz w:val="18"/>
        </w:rPr>
        <w:t xml:space="preserve"> retains the graded mean on the interval [0,1].</w:t>
      </w:r>
    </w:p>
    <w:p w14:paraId="2CEB6A61" w14:textId="0A351557"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a</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b</m:t>
              </m:r>
            </m:sub>
          </m:sSub>
          <m:r>
            <w:rPr>
              <w:rFonts w:ascii="Cambria Math" w:eastAsia="Cambria Math" w:hAnsi="Cambria Math"/>
              <w:color w:val="000000"/>
              <w:sz w:val="18"/>
            </w:rPr>
            <m:t>=∅, ∀a≠b</m:t>
          </m:r>
        </m:oMath>
      </m:oMathPara>
    </w:p>
    <w:p w14:paraId="5E5CCBCA" w14:textId="77777777" w:rsidR="00E921BC" w:rsidRDefault="00DD34C6">
      <w:pPr>
        <w:pStyle w:val="ICESTNormal"/>
        <w:keepNext/>
        <w:spacing w:after="20" w:line="192" w:lineRule="auto"/>
        <w:ind w:firstLine="0"/>
        <w:jc w:val="right"/>
      </w:pPr>
      <w:r>
        <w:rPr>
          <w:color w:val="000000"/>
          <w:sz w:val="16"/>
        </w:rPr>
        <w:t>(2)</w:t>
      </w:r>
    </w:p>
    <w:p w14:paraId="2902DD96" w14:textId="77777777" w:rsidR="00E921BC" w:rsidRDefault="00DD34C6">
      <w:pPr>
        <w:pStyle w:val="ICESTNormal"/>
        <w:spacing w:after="40"/>
        <w:ind w:firstLine="0"/>
      </w:pPr>
      <w:r>
        <w:rPr>
          <w:rFonts w:ascii="Cambria Math" w:eastAsia="Cambria Math" w:hAnsi="Cambria Math"/>
          <w:i/>
          <w:color w:val="000000"/>
          <w:sz w:val="18"/>
        </w:rPr>
        <w:t>P</w:t>
      </w:r>
      <w:r>
        <w:rPr>
          <w:rFonts w:ascii="Cambria Math" w:eastAsia="Cambria Math" w:hAnsi="Cambria Math"/>
          <w:i/>
          <w:color w:val="000000"/>
          <w:sz w:val="18"/>
          <w:vertAlign w:val="subscript"/>
        </w:rPr>
        <w:t>train</w:t>
      </w:r>
      <w:r>
        <w:rPr>
          <w:i/>
          <w:color w:val="000000"/>
          <w:sz w:val="18"/>
        </w:rPr>
        <w:t xml:space="preserve">, </w:t>
      </w:r>
      <w:r>
        <w:rPr>
          <w:rFonts w:ascii="Cambria Math" w:eastAsia="Cambria Math" w:hAnsi="Cambria Math"/>
          <w:i/>
          <w:color w:val="000000"/>
          <w:sz w:val="18"/>
        </w:rPr>
        <w:t>P</w:t>
      </w:r>
      <w:r>
        <w:rPr>
          <w:rFonts w:ascii="Cambria Math" w:eastAsia="Cambria Math" w:hAnsi="Cambria Math"/>
          <w:i/>
          <w:color w:val="000000"/>
          <w:sz w:val="18"/>
          <w:vertAlign w:val="subscript"/>
        </w:rPr>
        <w:t>val</w:t>
      </w:r>
      <w:r>
        <w:rPr>
          <w:i/>
          <w:color w:val="000000"/>
          <w:sz w:val="18"/>
        </w:rPr>
        <w:t xml:space="preserve">, and </w:t>
      </w:r>
      <w:r>
        <w:rPr>
          <w:rFonts w:ascii="Cambria Math" w:eastAsia="Cambria Math" w:hAnsi="Cambria Math"/>
          <w:i/>
          <w:color w:val="000000"/>
          <w:sz w:val="18"/>
        </w:rPr>
        <w:t>P</w:t>
      </w:r>
      <w:r>
        <w:rPr>
          <w:rFonts w:ascii="Cambria Math" w:eastAsia="Cambria Math" w:hAnsi="Cambria Math"/>
          <w:i/>
          <w:color w:val="000000"/>
          <w:sz w:val="18"/>
          <w:vertAlign w:val="subscript"/>
        </w:rPr>
        <w:t>tes</w:t>
      </w:r>
      <w:r>
        <w:rPr>
          <w:rFonts w:ascii="Cambria Math" w:eastAsia="Cambria Math" w:hAnsi="Cambria Math"/>
          <w:i/>
          <w:color w:val="000000"/>
          <w:sz w:val="18"/>
          <w:vertAlign w:val="subscript"/>
        </w:rPr>
        <w:t>t</w:t>
      </w:r>
      <w:r>
        <w:rPr>
          <w:i/>
          <w:color w:val="000000"/>
          <w:sz w:val="18"/>
        </w:rPr>
        <w:t xml:space="preserve"> are disjoint sets of complete educational programmes, not randomly mixed course-LO rows.</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39"/>
        <w:gridCol w:w="2372"/>
      </w:tblGrid>
      <w:tr w:rsidR="00E921BC" w14:paraId="10EDA603" w14:textId="77777777">
        <w:trPr>
          <w:tblHeader/>
          <w:jc w:val="center"/>
        </w:trPr>
        <w:tc>
          <w:tcPr>
            <w:tcW w:w="4873" w:type="dxa"/>
            <w:shd w:val="clear" w:color="auto" w:fill="D9EAF7"/>
            <w:tcMar>
              <w:top w:w="70" w:type="dxa"/>
              <w:left w:w="90" w:type="dxa"/>
              <w:bottom w:w="70" w:type="dxa"/>
              <w:right w:w="90" w:type="dxa"/>
            </w:tcMar>
            <w:vAlign w:val="center"/>
          </w:tcPr>
          <w:p w14:paraId="6DFB9383" w14:textId="77777777" w:rsidR="00E921BC" w:rsidRDefault="00DD34C6">
            <w:pPr>
              <w:jc w:val="center"/>
            </w:pPr>
            <w:r>
              <w:rPr>
                <w:rFonts w:ascii="Times New Roman" w:eastAsia="Times New Roman" w:hAnsi="Times New Roman"/>
                <w:b/>
                <w:color w:val="000000"/>
                <w:sz w:val="16"/>
              </w:rPr>
              <w:t>Dataset entity</w:t>
            </w:r>
          </w:p>
        </w:tc>
        <w:tc>
          <w:tcPr>
            <w:tcW w:w="4873" w:type="dxa"/>
            <w:shd w:val="clear" w:color="auto" w:fill="D9EAF7"/>
            <w:tcMar>
              <w:top w:w="70" w:type="dxa"/>
              <w:left w:w="90" w:type="dxa"/>
              <w:bottom w:w="70" w:type="dxa"/>
              <w:right w:w="90" w:type="dxa"/>
            </w:tcMar>
            <w:vAlign w:val="center"/>
          </w:tcPr>
          <w:p w14:paraId="6757087E" w14:textId="77777777" w:rsidR="00E921BC" w:rsidRDefault="00DD34C6">
            <w:pPr>
              <w:jc w:val="center"/>
            </w:pPr>
            <w:r>
              <w:rPr>
                <w:rFonts w:ascii="Times New Roman" w:eastAsia="Times New Roman" w:hAnsi="Times New Roman"/>
                <w:b/>
                <w:color w:val="000000"/>
                <w:sz w:val="16"/>
              </w:rPr>
              <w:t>Count</w:t>
            </w:r>
          </w:p>
        </w:tc>
      </w:tr>
      <w:tr w:rsidR="00E921BC" w14:paraId="72951C27" w14:textId="77777777">
        <w:trPr>
          <w:jc w:val="center"/>
        </w:trPr>
        <w:tc>
          <w:tcPr>
            <w:tcW w:w="4873" w:type="dxa"/>
            <w:tcMar>
              <w:top w:w="70" w:type="dxa"/>
              <w:left w:w="90" w:type="dxa"/>
              <w:bottom w:w="70" w:type="dxa"/>
              <w:right w:w="90" w:type="dxa"/>
            </w:tcMar>
            <w:vAlign w:val="center"/>
          </w:tcPr>
          <w:p w14:paraId="08068B93" w14:textId="77777777" w:rsidR="00E921BC" w:rsidRDefault="00DD34C6">
            <w:r>
              <w:rPr>
                <w:rFonts w:ascii="Times New Roman" w:eastAsia="Times New Roman" w:hAnsi="Times New Roman"/>
                <w:color w:val="000000"/>
                <w:sz w:val="16"/>
              </w:rPr>
              <w:t>Educational programmes</w:t>
            </w:r>
          </w:p>
        </w:tc>
        <w:tc>
          <w:tcPr>
            <w:tcW w:w="4873" w:type="dxa"/>
            <w:tcMar>
              <w:top w:w="70" w:type="dxa"/>
              <w:left w:w="90" w:type="dxa"/>
              <w:bottom w:w="70" w:type="dxa"/>
              <w:right w:w="90" w:type="dxa"/>
            </w:tcMar>
            <w:vAlign w:val="center"/>
          </w:tcPr>
          <w:p w14:paraId="7E2528A4" w14:textId="77777777" w:rsidR="00E921BC" w:rsidRDefault="00DD34C6">
            <w:pPr>
              <w:jc w:val="center"/>
            </w:pPr>
            <w:r>
              <w:rPr>
                <w:rFonts w:ascii="Times New Roman" w:eastAsia="Times New Roman" w:hAnsi="Times New Roman"/>
                <w:color w:val="000000"/>
                <w:sz w:val="16"/>
              </w:rPr>
              <w:t>12,215</w:t>
            </w:r>
          </w:p>
        </w:tc>
      </w:tr>
      <w:tr w:rsidR="00E921BC" w14:paraId="67237764" w14:textId="77777777">
        <w:trPr>
          <w:jc w:val="center"/>
        </w:trPr>
        <w:tc>
          <w:tcPr>
            <w:tcW w:w="4873" w:type="dxa"/>
            <w:tcMar>
              <w:top w:w="70" w:type="dxa"/>
              <w:left w:w="90" w:type="dxa"/>
              <w:bottom w:w="70" w:type="dxa"/>
              <w:right w:w="90" w:type="dxa"/>
            </w:tcMar>
            <w:vAlign w:val="center"/>
          </w:tcPr>
          <w:p w14:paraId="5D65F8AE" w14:textId="77777777" w:rsidR="00E921BC" w:rsidRDefault="00DD34C6">
            <w:r>
              <w:rPr>
                <w:rFonts w:ascii="Times New Roman" w:eastAsia="Times New Roman" w:hAnsi="Times New Roman"/>
                <w:color w:val="000000"/>
                <w:sz w:val="16"/>
              </w:rPr>
              <w:t>Raw course records</w:t>
            </w:r>
          </w:p>
        </w:tc>
        <w:tc>
          <w:tcPr>
            <w:tcW w:w="4873" w:type="dxa"/>
            <w:tcMar>
              <w:top w:w="70" w:type="dxa"/>
              <w:left w:w="90" w:type="dxa"/>
              <w:bottom w:w="70" w:type="dxa"/>
              <w:right w:w="90" w:type="dxa"/>
            </w:tcMar>
            <w:vAlign w:val="center"/>
          </w:tcPr>
          <w:p w14:paraId="2C02166F" w14:textId="77777777" w:rsidR="00E921BC" w:rsidRDefault="00DD34C6">
            <w:pPr>
              <w:jc w:val="center"/>
            </w:pPr>
            <w:r>
              <w:rPr>
                <w:rFonts w:ascii="Times New Roman" w:eastAsia="Times New Roman" w:hAnsi="Times New Roman"/>
                <w:color w:val="000000"/>
                <w:sz w:val="16"/>
              </w:rPr>
              <w:t>408,638</w:t>
            </w:r>
          </w:p>
        </w:tc>
      </w:tr>
      <w:tr w:rsidR="00E921BC" w14:paraId="3FE5D6EB" w14:textId="77777777">
        <w:trPr>
          <w:jc w:val="center"/>
        </w:trPr>
        <w:tc>
          <w:tcPr>
            <w:tcW w:w="4873" w:type="dxa"/>
            <w:tcMar>
              <w:top w:w="70" w:type="dxa"/>
              <w:left w:w="90" w:type="dxa"/>
              <w:bottom w:w="70" w:type="dxa"/>
              <w:right w:w="90" w:type="dxa"/>
            </w:tcMar>
            <w:vAlign w:val="center"/>
          </w:tcPr>
          <w:p w14:paraId="56A813B7" w14:textId="77777777" w:rsidR="00E921BC" w:rsidRDefault="00DD34C6">
            <w:r>
              <w:rPr>
                <w:rFonts w:ascii="Times New Roman" w:eastAsia="Times New Roman" w:hAnsi="Times New Roman"/>
                <w:color w:val="000000"/>
                <w:sz w:val="16"/>
              </w:rPr>
              <w:t>Raw learning outcomes</w:t>
            </w:r>
          </w:p>
        </w:tc>
        <w:tc>
          <w:tcPr>
            <w:tcW w:w="4873" w:type="dxa"/>
            <w:tcMar>
              <w:top w:w="70" w:type="dxa"/>
              <w:left w:w="90" w:type="dxa"/>
              <w:bottom w:w="70" w:type="dxa"/>
              <w:right w:w="90" w:type="dxa"/>
            </w:tcMar>
            <w:vAlign w:val="center"/>
          </w:tcPr>
          <w:p w14:paraId="09092BE6" w14:textId="77777777" w:rsidR="00E921BC" w:rsidRDefault="00DD34C6">
            <w:pPr>
              <w:jc w:val="center"/>
            </w:pPr>
            <w:r>
              <w:rPr>
                <w:rFonts w:ascii="Times New Roman" w:eastAsia="Times New Roman" w:hAnsi="Times New Roman"/>
                <w:color w:val="000000"/>
                <w:sz w:val="16"/>
              </w:rPr>
              <w:t>124,521</w:t>
            </w:r>
          </w:p>
        </w:tc>
      </w:tr>
      <w:tr w:rsidR="00E921BC" w14:paraId="375E50B5" w14:textId="77777777">
        <w:trPr>
          <w:jc w:val="center"/>
        </w:trPr>
        <w:tc>
          <w:tcPr>
            <w:tcW w:w="4873" w:type="dxa"/>
            <w:tcMar>
              <w:top w:w="70" w:type="dxa"/>
              <w:left w:w="90" w:type="dxa"/>
              <w:bottom w:w="70" w:type="dxa"/>
              <w:right w:w="90" w:type="dxa"/>
            </w:tcMar>
            <w:vAlign w:val="center"/>
          </w:tcPr>
          <w:p w14:paraId="6F72D055" w14:textId="77777777" w:rsidR="00E921BC" w:rsidRDefault="00DD34C6">
            <w:r>
              <w:rPr>
                <w:rFonts w:ascii="Times New Roman" w:eastAsia="Times New Roman" w:hAnsi="Times New Roman"/>
                <w:color w:val="000000"/>
                <w:sz w:val="16"/>
              </w:rPr>
              <w:t>Normalized courses</w:t>
            </w:r>
          </w:p>
        </w:tc>
        <w:tc>
          <w:tcPr>
            <w:tcW w:w="4873" w:type="dxa"/>
            <w:tcMar>
              <w:top w:w="70" w:type="dxa"/>
              <w:left w:w="90" w:type="dxa"/>
              <w:bottom w:w="70" w:type="dxa"/>
              <w:right w:w="90" w:type="dxa"/>
            </w:tcMar>
            <w:vAlign w:val="center"/>
          </w:tcPr>
          <w:p w14:paraId="22AF3A5A" w14:textId="77777777" w:rsidR="00E921BC" w:rsidRDefault="00DD34C6">
            <w:pPr>
              <w:jc w:val="center"/>
            </w:pPr>
            <w:r>
              <w:rPr>
                <w:rFonts w:ascii="Times New Roman" w:eastAsia="Times New Roman" w:hAnsi="Times New Roman"/>
                <w:color w:val="000000"/>
                <w:sz w:val="16"/>
              </w:rPr>
              <w:t>191,292</w:t>
            </w:r>
          </w:p>
        </w:tc>
      </w:tr>
      <w:tr w:rsidR="00E921BC" w14:paraId="28CFADCC" w14:textId="77777777">
        <w:trPr>
          <w:jc w:val="center"/>
        </w:trPr>
        <w:tc>
          <w:tcPr>
            <w:tcW w:w="4873" w:type="dxa"/>
            <w:tcMar>
              <w:top w:w="70" w:type="dxa"/>
              <w:left w:w="90" w:type="dxa"/>
              <w:bottom w:w="70" w:type="dxa"/>
              <w:right w:w="90" w:type="dxa"/>
            </w:tcMar>
            <w:vAlign w:val="center"/>
          </w:tcPr>
          <w:p w14:paraId="384B0A91" w14:textId="77777777" w:rsidR="00E921BC" w:rsidRDefault="00DD34C6">
            <w:r>
              <w:rPr>
                <w:rFonts w:ascii="Times New Roman" w:eastAsia="Times New Roman" w:hAnsi="Times New Roman"/>
                <w:color w:val="000000"/>
                <w:sz w:val="16"/>
              </w:rPr>
              <w:t xml:space="preserve">Normalized expert </w:t>
            </w:r>
            <w:r>
              <w:rPr>
                <w:rFonts w:ascii="Times New Roman" w:eastAsia="Times New Roman" w:hAnsi="Times New Roman"/>
                <w:color w:val="000000"/>
                <w:sz w:val="16"/>
              </w:rPr>
              <w:t>links</w:t>
            </w:r>
          </w:p>
        </w:tc>
        <w:tc>
          <w:tcPr>
            <w:tcW w:w="4873" w:type="dxa"/>
            <w:tcMar>
              <w:top w:w="70" w:type="dxa"/>
              <w:left w:w="90" w:type="dxa"/>
              <w:bottom w:w="70" w:type="dxa"/>
              <w:right w:w="90" w:type="dxa"/>
            </w:tcMar>
            <w:vAlign w:val="center"/>
          </w:tcPr>
          <w:p w14:paraId="31E13C36" w14:textId="77777777" w:rsidR="00E921BC" w:rsidRDefault="00DD34C6">
            <w:pPr>
              <w:jc w:val="center"/>
            </w:pPr>
            <w:r>
              <w:rPr>
                <w:rFonts w:ascii="Times New Roman" w:eastAsia="Times New Roman" w:hAnsi="Times New Roman"/>
                <w:color w:val="000000"/>
                <w:sz w:val="16"/>
              </w:rPr>
              <w:t>932,483</w:t>
            </w:r>
          </w:p>
        </w:tc>
      </w:tr>
      <w:tr w:rsidR="00E921BC" w14:paraId="6060DC81" w14:textId="77777777">
        <w:trPr>
          <w:jc w:val="center"/>
        </w:trPr>
        <w:tc>
          <w:tcPr>
            <w:tcW w:w="4873" w:type="dxa"/>
            <w:tcMar>
              <w:top w:w="70" w:type="dxa"/>
              <w:left w:w="90" w:type="dxa"/>
              <w:bottom w:w="70" w:type="dxa"/>
              <w:right w:w="90" w:type="dxa"/>
            </w:tcMar>
            <w:vAlign w:val="center"/>
          </w:tcPr>
          <w:p w14:paraId="424B3E34" w14:textId="77777777" w:rsidR="00E921BC" w:rsidRDefault="00DD34C6">
            <w:r>
              <w:rPr>
                <w:rFonts w:ascii="Times New Roman" w:eastAsia="Times New Roman" w:hAnsi="Times New Roman"/>
                <w:color w:val="000000"/>
                <w:sz w:val="16"/>
              </w:rPr>
              <w:t>Pairs with numerical expert labels</w:t>
            </w:r>
          </w:p>
        </w:tc>
        <w:tc>
          <w:tcPr>
            <w:tcW w:w="4873" w:type="dxa"/>
            <w:tcMar>
              <w:top w:w="70" w:type="dxa"/>
              <w:left w:w="90" w:type="dxa"/>
              <w:bottom w:w="70" w:type="dxa"/>
              <w:right w:w="90" w:type="dxa"/>
            </w:tcMar>
            <w:vAlign w:val="center"/>
          </w:tcPr>
          <w:p w14:paraId="5B9E3B96" w14:textId="77777777" w:rsidR="00E921BC" w:rsidRDefault="00DD34C6">
            <w:pPr>
              <w:jc w:val="center"/>
            </w:pPr>
            <w:r>
              <w:rPr>
                <w:rFonts w:ascii="Times New Roman" w:eastAsia="Times New Roman" w:hAnsi="Times New Roman"/>
                <w:color w:val="000000"/>
                <w:sz w:val="16"/>
              </w:rPr>
              <w:t>800,793</w:t>
            </w:r>
          </w:p>
        </w:tc>
      </w:tr>
      <w:tr w:rsidR="00E921BC" w14:paraId="1FE3B878" w14:textId="77777777">
        <w:trPr>
          <w:jc w:val="center"/>
        </w:trPr>
        <w:tc>
          <w:tcPr>
            <w:tcW w:w="4873" w:type="dxa"/>
            <w:tcMar>
              <w:top w:w="70" w:type="dxa"/>
              <w:left w:w="90" w:type="dxa"/>
              <w:bottom w:w="70" w:type="dxa"/>
              <w:right w:w="90" w:type="dxa"/>
            </w:tcMar>
            <w:vAlign w:val="center"/>
          </w:tcPr>
          <w:p w14:paraId="7EF83A18" w14:textId="77777777" w:rsidR="00E921BC" w:rsidRDefault="00DD34C6">
            <w:r>
              <w:rPr>
                <w:rFonts w:ascii="Times New Roman" w:eastAsia="Times New Roman" w:hAnsi="Times New Roman"/>
                <w:color w:val="000000"/>
                <w:sz w:val="16"/>
              </w:rPr>
              <w:t>Approved operational courses</w:t>
            </w:r>
          </w:p>
        </w:tc>
        <w:tc>
          <w:tcPr>
            <w:tcW w:w="4873" w:type="dxa"/>
            <w:tcMar>
              <w:top w:w="70" w:type="dxa"/>
              <w:left w:w="90" w:type="dxa"/>
              <w:bottom w:w="70" w:type="dxa"/>
              <w:right w:w="90" w:type="dxa"/>
            </w:tcMar>
            <w:vAlign w:val="center"/>
          </w:tcPr>
          <w:p w14:paraId="13D9A6E1" w14:textId="77777777" w:rsidR="00E921BC" w:rsidRDefault="00DD34C6">
            <w:pPr>
              <w:jc w:val="center"/>
            </w:pPr>
            <w:r>
              <w:rPr>
                <w:rFonts w:ascii="Times New Roman" w:eastAsia="Times New Roman" w:hAnsi="Times New Roman"/>
                <w:color w:val="000000"/>
                <w:sz w:val="16"/>
              </w:rPr>
              <w:t>21,525</w:t>
            </w:r>
          </w:p>
        </w:tc>
      </w:tr>
    </w:tbl>
    <w:p w14:paraId="7E2885F1" w14:textId="77777777" w:rsidR="00E921BC" w:rsidRDefault="00DD34C6">
      <w:pPr>
        <w:pStyle w:val="ICESTNormal"/>
        <w:ind w:firstLine="0"/>
        <w:jc w:val="center"/>
      </w:pPr>
      <w:r>
        <w:rPr>
          <w:i/>
          <w:color w:val="000000"/>
        </w:rPr>
        <w:t>Table 1. EPVO corpus and operational repository.</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79ACAFB8" w14:textId="77777777">
        <w:trPr>
          <w:jc w:val="center"/>
        </w:trPr>
        <w:tc>
          <w:tcPr>
            <w:tcW w:w="9747" w:type="dxa"/>
            <w:shd w:val="clear" w:color="auto" w:fill="F2F2F2"/>
            <w:tcMar>
              <w:top w:w="180" w:type="dxa"/>
              <w:left w:w="160" w:type="dxa"/>
              <w:bottom w:w="180" w:type="dxa"/>
              <w:right w:w="160" w:type="dxa"/>
            </w:tcMar>
          </w:tcPr>
          <w:p w14:paraId="73A77126" w14:textId="77777777" w:rsidR="00E921BC" w:rsidRDefault="00DD34C6">
            <w:pPr>
              <w:jc w:val="center"/>
            </w:pPr>
            <w:r>
              <w:rPr>
                <w:rFonts w:ascii="Times New Roman" w:eastAsia="Times New Roman" w:hAnsi="Times New Roman"/>
                <w:b/>
                <w:color w:val="000000"/>
                <w:sz w:val="20"/>
              </w:rPr>
              <w:t>Figure 2 placeholder</w:t>
            </w:r>
          </w:p>
        </w:tc>
      </w:tr>
    </w:tbl>
    <w:p w14:paraId="70DE1BDA" w14:textId="77777777" w:rsidR="00E921BC" w:rsidRDefault="00DD34C6">
      <w:pPr>
        <w:pStyle w:val="ICESTNormal"/>
        <w:ind w:firstLine="0"/>
        <w:jc w:val="center"/>
      </w:pPr>
      <w:r>
        <w:rPr>
          <w:i/>
          <w:color w:val="000000"/>
        </w:rPr>
        <w:t xml:space="preserve">Figure 2. Algorithm 1: EPVO evidence formation, normalization, and </w:t>
      </w:r>
      <w:r>
        <w:rPr>
          <w:i/>
          <w:color w:val="000000"/>
        </w:rPr>
        <w:t>leakage-safe split.</w:t>
      </w:r>
    </w:p>
    <w:p w14:paraId="13DF7DB3" w14:textId="77777777" w:rsidR="00E921BC" w:rsidRDefault="00DD34C6">
      <w:pPr>
        <w:pStyle w:val="ICESTNormal"/>
        <w:ind w:firstLine="0"/>
      </w:pPr>
      <w:r>
        <w:rPr>
          <w:b/>
          <w:color w:val="000000"/>
          <w:sz w:val="16"/>
        </w:rPr>
        <w:t xml:space="preserve">Draft image-generation prompt (remove before submission): </w:t>
      </w:r>
      <w:r>
        <w:rPr>
          <w:i/>
          <w:color w:val="000000"/>
          <w:sz w:val="16"/>
        </w:rPr>
        <w:t>Create a precise scientific flowchart for Algorithm 1, landscape 16:9, white background. Use six numbered stages. (1) University department: goal, programme LOs, curriculum, decl</w:t>
      </w:r>
      <w:r>
        <w:rPr>
          <w:i/>
          <w:color w:val="000000"/>
          <w:sz w:val="16"/>
        </w:rPr>
        <w:t>ared course-to-LO links. (2) External field experts: independently assign low=0, medium=0.5, high=1 to each declared relation. (3) Immutable raw EPVO: original JSON cards and SHA-256 checksum. (4) Normalization: language cleaning, canonical_title, credit a</w:t>
      </w:r>
      <w:r>
        <w:rPr>
          <w:i/>
          <w:color w:val="000000"/>
          <w:sz w:val="16"/>
        </w:rPr>
        <w:t>nd level codes, multilingual fingerprint, deduplication while preserving all source edges. (5) Aggregation: retain the graded mean by programme-course-source-LO; explicitly show that 0/0.5/1 are not binarised. (6) Grouped split: entire programmes go to Tra</w:t>
      </w:r>
      <w:r>
        <w:rPr>
          <w:i/>
          <w:color w:val="000000"/>
          <w:sz w:val="16"/>
        </w:rPr>
        <w:t>in, Validation, or Test, with no programme crossing partitions. Finish with Approved RU/KK/EN Repository and Dataset Passport. Show measured scale cards: 12,215 programmes, 408,638 raw courses, 124,521 LOs, 932,483 normalized links, 800,793 graded pairs. S</w:t>
      </w:r>
      <w:r>
        <w:rPr>
          <w:i/>
          <w:color w:val="000000"/>
          <w:sz w:val="16"/>
        </w:rPr>
        <w:t>eparate 'expert evidence' from 'AI prediction'. Flat vector, navy/teal/green, no decorative AI imagery, editable SVG and 300-dpi PNG.</w:t>
      </w:r>
    </w:p>
    <w:p w14:paraId="7FE5E71C" w14:textId="77777777" w:rsidR="00E921BC" w:rsidRDefault="00DD34C6">
      <w:pPr>
        <w:keepNext/>
        <w:spacing w:before="120" w:after="40"/>
      </w:pPr>
      <w:r>
        <w:rPr>
          <w:rFonts w:ascii="Times New Roman" w:eastAsia="Times New Roman" w:hAnsi="Times New Roman"/>
          <w:b/>
          <w:color w:val="000000"/>
        </w:rPr>
        <w:t>4. Method</w:t>
      </w:r>
    </w:p>
    <w:p w14:paraId="31E00805" w14:textId="77777777" w:rsidR="00E921BC" w:rsidRDefault="00DD34C6">
      <w:pPr>
        <w:pStyle w:val="ICESTNormal"/>
        <w:ind w:firstLine="283"/>
      </w:pPr>
      <w:r>
        <w:rPr>
          <w:color w:val="000000"/>
          <w:sz w:val="22"/>
        </w:rPr>
        <w:t xml:space="preserve">For course </w:t>
      </w:r>
      <w:r>
        <w:rPr>
          <w:rFonts w:ascii="Cambria Math" w:eastAsia="Cambria Math" w:hAnsi="Cambria Math"/>
          <w:i/>
          <w:color w:val="000000"/>
          <w:sz w:val="22"/>
        </w:rPr>
        <w:t>c</w:t>
      </w:r>
      <w:r>
        <w:rPr>
          <w:rFonts w:ascii="Cambria Math" w:eastAsia="Cambria Math" w:hAnsi="Cambria Math"/>
          <w:i/>
          <w:color w:val="000000"/>
          <w:sz w:val="22"/>
          <w:vertAlign w:val="subscript"/>
        </w:rPr>
        <w:t>i</w:t>
      </w:r>
      <w:r>
        <w:rPr>
          <w:color w:val="000000"/>
          <w:sz w:val="22"/>
        </w:rPr>
        <w:t xml:space="preserve"> and learning outcome </w:t>
      </w:r>
      <w:r>
        <w:rPr>
          <w:rFonts w:ascii="Cambria Math" w:eastAsia="Cambria Math" w:hAnsi="Cambria Math"/>
          <w:i/>
          <w:color w:val="000000"/>
          <w:sz w:val="22"/>
        </w:rPr>
        <w:t>o</w:t>
      </w:r>
      <w:r>
        <w:rPr>
          <w:rFonts w:ascii="Cambria Math" w:eastAsia="Cambria Math" w:hAnsi="Cambria Math"/>
          <w:i/>
          <w:color w:val="000000"/>
          <w:sz w:val="22"/>
          <w:vertAlign w:val="subscript"/>
        </w:rPr>
        <w:t>j</w:t>
      </w:r>
      <w:r>
        <w:rPr>
          <w:color w:val="000000"/>
          <w:sz w:val="22"/>
        </w:rPr>
        <w:t xml:space="preserve">, the multilingual encoder </w:t>
      </w:r>
      <w:r>
        <w:rPr>
          <w:rFonts w:ascii="Cambria Math" w:eastAsia="Cambria Math" w:hAnsi="Cambria Math"/>
          <w:i/>
          <w:color w:val="000000"/>
          <w:sz w:val="22"/>
        </w:rPr>
        <w:t>g</w:t>
      </w:r>
      <w:r>
        <w:rPr>
          <w:rFonts w:ascii="Cambria Math" w:eastAsia="Cambria Math" w:hAnsi="Cambria Math"/>
          <w:i/>
          <w:color w:val="000000"/>
          <w:sz w:val="22"/>
          <w:vertAlign w:val="subscript"/>
        </w:rPr>
        <w:t>theta</w:t>
      </w:r>
      <w:r>
        <w:rPr>
          <w:color w:val="000000"/>
          <w:sz w:val="22"/>
        </w:rPr>
        <w:t xml:space="preserve"> produces L2-normalised vectors. Their semantic similarity is the cosine of the angle between the vectors. A lexical score is added to protect exact professional terminology. The hybrid retrieval score is defined by Equation (1), where alpha is selected on</w:t>
      </w:r>
      <w:r>
        <w:rPr>
          <w:color w:val="000000"/>
          <w:sz w:val="22"/>
        </w:rPr>
        <w:t xml:space="preserve"> validation data.</w:t>
      </w:r>
    </w:p>
    <w:p w14:paraId="7AA0828D" w14:textId="77777777" w:rsidR="00E921BC" w:rsidRDefault="00DD34C6">
      <w:pPr>
        <w:pStyle w:val="ICESTNormal"/>
        <w:ind w:firstLine="283"/>
      </w:pPr>
      <w:r>
        <w:rPr>
          <w:color w:val="000000"/>
          <w:sz w:val="22"/>
        </w:rPr>
        <w:t xml:space="preserve">Historical expert evidence is transferred conservatively. An EPVO score is used only when the source learning outcome and the new outcome share sufficient semantic or lexical content. Several expert votes are aggregated without </w:t>
      </w:r>
      <w:r>
        <w:rPr>
          <w:color w:val="000000"/>
          <w:sz w:val="22"/>
        </w:rPr>
        <w:t>collapsing medium and high relations into a single binary label. AI and EPVO scores are displayed separately because they answer different questions: the former is a model prediction for a new pair; the latter is evidence from previously reviewed programme</w:t>
      </w:r>
      <w:r>
        <w:rPr>
          <w:color w:val="000000"/>
          <w:sz w:val="22"/>
        </w:rPr>
        <w:t>s.</w:t>
      </w:r>
    </w:p>
    <w:p w14:paraId="7ABD5A26" w14:textId="77777777" w:rsidR="00E921BC" w:rsidRDefault="00DD34C6">
      <w:pPr>
        <w:pStyle w:val="ICESTNormal"/>
        <w:ind w:firstLine="283"/>
      </w:pPr>
      <w:r>
        <w:rPr>
          <w:color w:val="000000"/>
          <w:sz w:val="22"/>
        </w:rPr>
        <w:t>A course is admitted only if it belongs to the selected education level and programme scope, supports at least one learning outcome, satisfies the domain guard, and can participate in a feasible prerequisite closure. Real EPVO courses are preferred. A b</w:t>
      </w:r>
      <w:r>
        <w:rPr>
          <w:color w:val="000000"/>
          <w:sz w:val="22"/>
        </w:rPr>
        <w:t>ridge module is created only when no sufficiently supported real course closes an outcome or an exact credit gap, and it is visibly marked for expert confirmation.</w:t>
      </w:r>
    </w:p>
    <w:p w14:paraId="4D38589E" w14:textId="77777777" w:rsidR="00E921BC" w:rsidRDefault="00DD34C6">
      <w:pPr>
        <w:pStyle w:val="ICESTNormal"/>
        <w:ind w:firstLine="283"/>
      </w:pPr>
      <w:r>
        <w:rPr>
          <w:color w:val="000000"/>
          <w:sz w:val="22"/>
        </w:rPr>
        <w:t>The planner assigns courses to semesters using the typical EPVO semester, prerequisite depth</w:t>
      </w:r>
      <w:r>
        <w:rPr>
          <w:color w:val="000000"/>
          <w:sz w:val="22"/>
        </w:rPr>
        <w:t>, semantic complexity, and semester capacity. Reranking is constrained: moving a course closer to its historical semester is allowed only if both source and destination loads remain inside the permitted interval and all prerequisite edges still point forwa</w:t>
      </w:r>
      <w:r>
        <w:rPr>
          <w:color w:val="000000"/>
          <w:sz w:val="22"/>
        </w:rPr>
        <w:t>rd. This prevents a superficially better similarity score from producing an impossible plan.</w:t>
      </w:r>
    </w:p>
    <w:p w14:paraId="05AC8622" w14:textId="2F6A6797"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u</m:t>
              </m:r>
            </m:e>
            <m:sub>
              <m:r>
                <w:rPr>
                  <w:rFonts w:ascii="Cambria Math" w:eastAsia="Cambria Math" w:hAnsi="Cambria Math"/>
                  <w:color w:val="000000"/>
                  <w:sz w:val="18"/>
                </w:rPr>
                <m:t>i</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θ</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d>
                </m:sub>
              </m:sSub>
            </m:num>
            <m:den>
              <m:sSub>
                <m:sSubPr>
                  <m:ctrlPr>
                    <w:rPr>
                      <w:rFonts w:ascii="Cambria Math" w:eastAsia="Cambria Math" w:hAnsi="Cambria Math"/>
                      <w:i/>
                      <w:color w:val="000000"/>
                      <w:sz w:val="18"/>
                    </w:rPr>
                  </m:ctrlPr>
                </m:sSubPr>
                <m:e>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θ</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d>
                        </m:sub>
                      </m:sSub>
                    </m:e>
                  </m:d>
                </m:e>
                <m:sub>
                  <m:r>
                    <w:rPr>
                      <w:rFonts w:ascii="Cambria Math" w:eastAsia="Cambria Math" w:hAnsi="Cambria Math"/>
                      <w:color w:val="000000"/>
                      <w:sz w:val="18"/>
                    </w:rPr>
                    <m:t>2</m:t>
                  </m:r>
                </m:sub>
              </m:sSub>
            </m:den>
          </m:f>
        </m:oMath>
      </m:oMathPara>
    </w:p>
    <w:p w14:paraId="46A28CEF" w14:textId="77777777" w:rsidR="00E921BC" w:rsidRDefault="00DD34C6">
      <w:pPr>
        <w:pStyle w:val="ICESTNormal"/>
        <w:keepNext/>
        <w:spacing w:after="20" w:line="192" w:lineRule="auto"/>
        <w:ind w:firstLine="0"/>
        <w:jc w:val="right"/>
      </w:pPr>
      <w:r>
        <w:rPr>
          <w:color w:val="000000"/>
          <w:sz w:val="16"/>
        </w:rPr>
        <w:t>(3)</w:t>
      </w:r>
    </w:p>
    <w:p w14:paraId="65058AB5" w14:textId="77777777" w:rsidR="00E921BC" w:rsidRDefault="00DD34C6">
      <w:pPr>
        <w:pStyle w:val="ICESTNormal"/>
        <w:spacing w:after="40"/>
        <w:ind w:firstLine="0"/>
      </w:pPr>
      <w:r>
        <w:rPr>
          <w:i/>
          <w:color w:val="000000"/>
          <w:sz w:val="18"/>
        </w:rPr>
        <w:t xml:space="preserve">The multilingual encoder </w:t>
      </w:r>
      <w:r>
        <w:rPr>
          <w:rFonts w:ascii="Cambria Math" w:eastAsia="Cambria Math" w:hAnsi="Cambria Math"/>
          <w:i/>
          <w:color w:val="000000"/>
          <w:sz w:val="18"/>
        </w:rPr>
        <w:t>g</w:t>
      </w:r>
      <w:r>
        <w:rPr>
          <w:rFonts w:ascii="Cambria Math" w:eastAsia="Cambria Math" w:hAnsi="Cambria Math"/>
          <w:i/>
          <w:color w:val="000000"/>
          <w:sz w:val="18"/>
          <w:vertAlign w:val="subscript"/>
        </w:rPr>
        <w:t>theta</w:t>
      </w:r>
      <w:r>
        <w:rPr>
          <w:i/>
          <w:color w:val="000000"/>
          <w:sz w:val="18"/>
        </w:rPr>
        <w:t xml:space="preserve"> maps the text </w:t>
      </w:r>
      <w:r>
        <w:rPr>
          <w:rFonts w:ascii="Cambria Math" w:eastAsia="Cambria Math" w:hAnsi="Cambria Math"/>
          <w:i/>
          <w:color w:val="000000"/>
          <w:sz w:val="18"/>
        </w:rPr>
        <w:t>x</w:t>
      </w:r>
      <w:r>
        <w:rPr>
          <w:rFonts w:ascii="Cambria Math" w:eastAsia="Cambria Math" w:hAnsi="Cambria Math"/>
          <w:i/>
          <w:color w:val="000000"/>
          <w:sz w:val="18"/>
          <w:vertAlign w:val="subscript"/>
        </w:rPr>
        <w:t>i</w:t>
      </w:r>
      <w:r>
        <w:rPr>
          <w:i/>
          <w:color w:val="000000"/>
          <w:sz w:val="18"/>
        </w:rPr>
        <w:t xml:space="preserve"> of course i to the L2-normalised vector </w:t>
      </w:r>
      <w:r>
        <w:rPr>
          <w:rFonts w:ascii="Cambria Math" w:eastAsia="Cambria Math" w:hAnsi="Cambria Math"/>
          <w:i/>
          <w:color w:val="000000"/>
          <w:sz w:val="18"/>
        </w:rPr>
        <w:t>u</w:t>
      </w:r>
      <w:r>
        <w:rPr>
          <w:rFonts w:ascii="Cambria Math" w:eastAsia="Cambria Math" w:hAnsi="Cambria Math"/>
          <w:i/>
          <w:color w:val="000000"/>
          <w:sz w:val="18"/>
          <w:vertAlign w:val="subscript"/>
        </w:rPr>
        <w:t>i</w:t>
      </w:r>
      <w:r>
        <w:rPr>
          <w:i/>
          <w:color w:val="000000"/>
          <w:sz w:val="18"/>
        </w:rPr>
        <w:t>; outcomes are encoded analogously</w:t>
      </w:r>
      <w:r>
        <w:rPr>
          <w:i/>
          <w:color w:val="000000"/>
          <w:sz w:val="18"/>
        </w:rPr>
        <w:t xml:space="preserve"> as </w:t>
      </w:r>
      <w:r>
        <w:rPr>
          <w:rFonts w:ascii="Cambria Math" w:eastAsia="Cambria Math" w:hAnsi="Cambria Math"/>
          <w:i/>
          <w:color w:val="000000"/>
          <w:sz w:val="18"/>
        </w:rPr>
        <w:t>v</w:t>
      </w:r>
      <w:r>
        <w:rPr>
          <w:rFonts w:ascii="Cambria Math" w:eastAsia="Cambria Math" w:hAnsi="Cambria Math"/>
          <w:i/>
          <w:color w:val="000000"/>
          <w:sz w:val="18"/>
          <w:vertAlign w:val="subscript"/>
        </w:rPr>
        <w:t>j</w:t>
      </w:r>
      <w:r>
        <w:rPr>
          <w:i/>
          <w:color w:val="000000"/>
          <w:sz w:val="18"/>
        </w:rPr>
        <w:t>.</w:t>
      </w:r>
    </w:p>
    <w:p w14:paraId="20A73273" w14:textId="36F01FAA" w:rsidR="00E921BC" w:rsidRDefault="00DD34C6">
      <w:pPr>
        <w:pStyle w:val="ICESTNormal"/>
        <w:keepNext/>
        <w:spacing w:before="60"/>
        <w:ind w:firstLine="0"/>
        <w:jc w:val="center"/>
      </w:pPr>
      <m:oMathPara>
        <m:oMath>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sem</m:t>
              </m:r>
            </m:sup>
          </m:sSubSup>
          <m:r>
            <w:rPr>
              <w:rFonts w:ascii="Cambria Math" w:eastAsia="Cambria Math" w:hAnsi="Cambria Math"/>
              <w:color w:val="000000"/>
              <w:sz w:val="18"/>
            </w:rPr>
            <m:t>=</m:t>
          </m:r>
          <m:sSubSup>
            <m:sSubSupPr>
              <m:ctrlPr>
                <w:rPr>
                  <w:rFonts w:ascii="Cambria Math" w:eastAsia="Cambria Math" w:hAnsi="Cambria Math"/>
                  <w:i/>
                  <w:color w:val="000000"/>
                  <w:sz w:val="18"/>
                </w:rPr>
              </m:ctrlPr>
            </m:sSubSupPr>
            <m:e>
              <m:r>
                <w:rPr>
                  <w:rFonts w:ascii="Cambria Math" w:eastAsia="Cambria Math" w:hAnsi="Cambria Math"/>
                  <w:color w:val="000000"/>
                  <w:sz w:val="18"/>
                </w:rPr>
                <m:t>u</m:t>
              </m:r>
            </m:e>
            <m:sub>
              <m:r>
                <w:rPr>
                  <w:rFonts w:ascii="Cambria Math" w:eastAsia="Cambria Math" w:hAnsi="Cambria Math"/>
                  <w:color w:val="000000"/>
                  <w:sz w:val="18"/>
                </w:rPr>
                <m:t>i</m:t>
              </m:r>
            </m:sub>
            <m:sup>
              <m:r>
                <w:rPr>
                  <w:rFonts w:ascii="Cambria Math" w:eastAsia="Cambria Math" w:hAnsi="Cambria Math"/>
                  <w:color w:val="000000"/>
                  <w:sz w:val="18"/>
                </w:rPr>
                <m:t>T</m:t>
              </m:r>
            </m:sup>
          </m:sSubSup>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j</m:t>
              </m:r>
            </m:sub>
          </m:sSub>
        </m:oMath>
      </m:oMathPara>
    </w:p>
    <w:p w14:paraId="49472072" w14:textId="77777777" w:rsidR="00E921BC" w:rsidRDefault="00DD34C6">
      <w:pPr>
        <w:pStyle w:val="ICESTNormal"/>
        <w:keepNext/>
        <w:spacing w:after="20" w:line="192" w:lineRule="auto"/>
        <w:ind w:firstLine="0"/>
        <w:jc w:val="right"/>
      </w:pPr>
      <w:r>
        <w:rPr>
          <w:color w:val="000000"/>
          <w:sz w:val="16"/>
        </w:rPr>
        <w:t>(4)</w:t>
      </w:r>
    </w:p>
    <w:p w14:paraId="48B497DF" w14:textId="77777777" w:rsidR="00E921BC" w:rsidRDefault="00DD34C6">
      <w:pPr>
        <w:pStyle w:val="ICESTNormal"/>
        <w:spacing w:after="40"/>
        <w:ind w:firstLine="0"/>
      </w:pPr>
      <w:r>
        <w:rPr>
          <w:i/>
          <w:color w:val="000000"/>
          <w:sz w:val="18"/>
        </w:rPr>
        <w:t>The semantic score is cosine similarity because both embeddings have unit length.</w:t>
      </w:r>
    </w:p>
    <w:p w14:paraId="53331369" w14:textId="2CE234D1"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r</m:t>
              </m:r>
            </m:e>
            <m:sub>
              <m:r>
                <w:rPr>
                  <w:rFonts w:ascii="Cambria Math" w:eastAsia="Cambria Math" w:hAnsi="Cambria Math"/>
                  <w:color w:val="000000"/>
                  <w:sz w:val="18"/>
                </w:rPr>
                <m:t>ij</m:t>
              </m:r>
            </m:sub>
          </m:sSub>
          <m:r>
            <w:rPr>
              <w:rFonts w:ascii="Cambria Math" w:eastAsia="Cambria Math" w:hAnsi="Cambria Math"/>
              <w:color w:val="000000"/>
              <w:sz w:val="18"/>
            </w:rPr>
            <m:t>=α</m:t>
          </m:r>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sem</m:t>
              </m:r>
            </m:sup>
          </m:sSubSup>
          <m:r>
            <w:rPr>
              <w:rFonts w:ascii="Cambria Math" w:eastAsia="Cambria Math" w:hAnsi="Cambria Math"/>
              <w:color w:val="000000"/>
              <w:sz w:val="18"/>
            </w:rPr>
            <m:t>+</m:t>
          </m:r>
          <m:d>
            <m:dPr>
              <m:ctrlPr>
                <w:rPr>
                  <w:rFonts w:ascii="Cambria Math" w:eastAsia="Cambria Math" w:hAnsi="Cambria Math"/>
                  <w:i/>
                  <w:color w:val="000000"/>
                  <w:sz w:val="18"/>
                </w:rPr>
              </m:ctrlPr>
            </m:dPr>
            <m:e>
              <m:r>
                <w:rPr>
                  <w:rFonts w:ascii="Cambria Math" w:eastAsia="Cambria Math" w:hAnsi="Cambria Math"/>
                  <w:color w:val="000000"/>
                  <w:sz w:val="18"/>
                </w:rPr>
                <m:t>1-α</m:t>
              </m:r>
            </m:e>
          </m:d>
          <m:sSubSup>
            <m:sSubSupPr>
              <m:ctrlPr>
                <w:rPr>
                  <w:rFonts w:ascii="Cambria Math" w:eastAsia="Cambria Math" w:hAnsi="Cambria Math"/>
                  <w:i/>
                  <w:color w:val="000000"/>
                  <w:sz w:val="18"/>
                </w:rPr>
              </m:ctrlPr>
            </m:sSubSupPr>
            <m:e>
              <m:r>
                <w:rPr>
                  <w:rFonts w:ascii="Cambria Math" w:eastAsia="Cambria Math" w:hAnsi="Cambria Math"/>
                  <w:color w:val="000000"/>
                  <w:sz w:val="18"/>
                </w:rPr>
                <m:t>s</m:t>
              </m:r>
            </m:e>
            <m:sub>
              <m:r>
                <w:rPr>
                  <w:rFonts w:ascii="Cambria Math" w:eastAsia="Cambria Math" w:hAnsi="Cambria Math"/>
                  <w:color w:val="000000"/>
                  <w:sz w:val="18"/>
                </w:rPr>
                <m:t>ij</m:t>
              </m:r>
            </m:sub>
            <m:sup>
              <m:r>
                <w:rPr>
                  <w:rFonts w:ascii="Cambria Math" w:eastAsia="Cambria Math" w:hAnsi="Cambria Math"/>
                  <w:color w:val="000000"/>
                  <w:sz w:val="18"/>
                </w:rPr>
                <m:t>lex</m:t>
              </m:r>
            </m:sup>
          </m:sSubSup>
        </m:oMath>
      </m:oMathPara>
    </w:p>
    <w:p w14:paraId="697C9555" w14:textId="77777777" w:rsidR="00E921BC" w:rsidRDefault="00DD34C6">
      <w:pPr>
        <w:pStyle w:val="ICESTNormal"/>
        <w:keepNext/>
        <w:spacing w:after="20" w:line="192" w:lineRule="auto"/>
        <w:ind w:firstLine="0"/>
        <w:jc w:val="right"/>
      </w:pPr>
      <w:r>
        <w:rPr>
          <w:color w:val="000000"/>
          <w:sz w:val="16"/>
        </w:rPr>
        <w:t>(5)</w:t>
      </w:r>
    </w:p>
    <w:p w14:paraId="6B79D72F" w14:textId="77777777" w:rsidR="00E921BC" w:rsidRDefault="00DD34C6">
      <w:pPr>
        <w:pStyle w:val="ICESTNormal"/>
        <w:spacing w:after="40"/>
        <w:ind w:firstLine="0"/>
      </w:pPr>
      <w:r>
        <w:rPr>
          <w:i/>
          <w:color w:val="000000"/>
          <w:sz w:val="18"/>
        </w:rPr>
        <w:t>The retrieval score combines dense semantic evidence and a normalised BM25 lexical sco</w:t>
      </w:r>
      <w:r>
        <w:rPr>
          <w:i/>
          <w:color w:val="000000"/>
          <w:sz w:val="18"/>
        </w:rPr>
        <w:t>re; alpha is selected on validation programmes.</w:t>
      </w:r>
    </w:p>
    <w:p w14:paraId="3C412933" w14:textId="739B2CA2"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ij</m:t>
              </m:r>
            </m:sub>
          </m:sSub>
          <m:r>
            <w:rPr>
              <w:rFonts w:ascii="Cambria Math" w:eastAsia="Cambria Math" w:hAnsi="Cambria Math"/>
              <w:color w:val="000000"/>
              <w:sz w:val="18"/>
            </w:rPr>
            <m:t>=σ</m:t>
          </m:r>
          <m:d>
            <m:dPr>
              <m:ctrlPr>
                <w:rPr>
                  <w:rFonts w:ascii="Cambria Math" w:eastAsia="Cambria Math" w:hAnsi="Cambria Math"/>
                  <w:i/>
                  <w:color w:val="000000"/>
                  <w:sz w:val="18"/>
                </w:rPr>
              </m:ctrlPr>
            </m:dPr>
            <m:e>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r</m:t>
                      </m:r>
                    </m:e>
                    <m:sub>
                      <m:r>
                        <w:rPr>
                          <w:rFonts w:ascii="Cambria Math" w:eastAsia="Cambria Math" w:hAnsi="Cambria Math"/>
                          <w:color w:val="000000"/>
                          <w:sz w:val="18"/>
                        </w:rPr>
                        <m:t>ij</m:t>
                      </m:r>
                    </m:sub>
                  </m:sSub>
                  <m:r>
                    <w:rPr>
                      <w:rFonts w:ascii="Cambria Math" w:eastAsia="Cambria Math" w:hAnsi="Cambria Math"/>
                      <w:color w:val="000000"/>
                      <w:sz w:val="18"/>
                    </w:rPr>
                    <m:t>-τ</m:t>
                  </m:r>
                </m:num>
                <m:den>
                  <m:r>
                    <w:rPr>
                      <w:rFonts w:ascii="Cambria Math" w:eastAsia="Cambria Math" w:hAnsi="Cambria Math"/>
                      <w:color w:val="000000"/>
                      <w:sz w:val="18"/>
                    </w:rPr>
                    <m:t>T</m:t>
                  </m:r>
                </m:den>
              </m:f>
            </m:e>
          </m:d>
        </m:oMath>
      </m:oMathPara>
    </w:p>
    <w:p w14:paraId="2AD65E93" w14:textId="77777777" w:rsidR="00E921BC" w:rsidRDefault="00DD34C6">
      <w:pPr>
        <w:pStyle w:val="ICESTNormal"/>
        <w:keepNext/>
        <w:spacing w:after="20" w:line="192" w:lineRule="auto"/>
        <w:ind w:firstLine="0"/>
        <w:jc w:val="right"/>
      </w:pPr>
      <w:r>
        <w:rPr>
          <w:color w:val="000000"/>
          <w:sz w:val="16"/>
        </w:rPr>
        <w:t>(6)</w:t>
      </w:r>
    </w:p>
    <w:p w14:paraId="7CF6E718" w14:textId="77777777" w:rsidR="00E921BC" w:rsidRDefault="00DD34C6">
      <w:pPr>
        <w:pStyle w:val="ICESTNormal"/>
        <w:spacing w:after="40"/>
        <w:ind w:firstLine="0"/>
      </w:pPr>
      <w:r>
        <w:rPr>
          <w:i/>
          <w:color w:val="000000"/>
          <w:sz w:val="18"/>
        </w:rPr>
        <w:t xml:space="preserve">Validation-selected threshold tau and temperature T convert the retrieval score into a calibrated AI confidence </w:t>
      </w:r>
      <w:r>
        <w:rPr>
          <w:rFonts w:ascii="Cambria Math" w:eastAsia="Cambria Math" w:hAnsi="Cambria Math"/>
          <w:i/>
          <w:color w:val="000000"/>
          <w:sz w:val="18"/>
        </w:rPr>
        <w:t>p</w:t>
      </w:r>
      <w:r>
        <w:rPr>
          <w:rFonts w:ascii="Cambria Math" w:eastAsia="Cambria Math" w:hAnsi="Cambria Math"/>
          <w:i/>
          <w:color w:val="000000"/>
          <w:sz w:val="18"/>
          <w:vertAlign w:val="subscript"/>
        </w:rPr>
        <w:t>ij</w:t>
      </w:r>
      <w:r>
        <w:rPr>
          <w:i/>
          <w:color w:val="000000"/>
          <w:sz w:val="18"/>
        </w:rPr>
        <w:t>.</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25648F89" w14:textId="77777777">
        <w:trPr>
          <w:jc w:val="center"/>
        </w:trPr>
        <w:tc>
          <w:tcPr>
            <w:tcW w:w="9747" w:type="dxa"/>
            <w:shd w:val="clear" w:color="auto" w:fill="F2F2F2"/>
            <w:tcMar>
              <w:top w:w="180" w:type="dxa"/>
              <w:left w:w="160" w:type="dxa"/>
              <w:bottom w:w="180" w:type="dxa"/>
              <w:right w:w="160" w:type="dxa"/>
            </w:tcMar>
          </w:tcPr>
          <w:p w14:paraId="270C7EAE" w14:textId="77777777" w:rsidR="00E921BC" w:rsidRDefault="00DD34C6">
            <w:pPr>
              <w:jc w:val="center"/>
            </w:pPr>
            <w:r>
              <w:rPr>
                <w:rFonts w:ascii="Times New Roman" w:eastAsia="Times New Roman" w:hAnsi="Times New Roman"/>
                <w:b/>
                <w:color w:val="000000"/>
                <w:sz w:val="20"/>
              </w:rPr>
              <w:t>Figure 3 placeholder</w:t>
            </w:r>
          </w:p>
        </w:tc>
      </w:tr>
    </w:tbl>
    <w:p w14:paraId="1DE348B3" w14:textId="77777777" w:rsidR="00E921BC" w:rsidRDefault="00DD34C6">
      <w:pPr>
        <w:pStyle w:val="ICESTNormal"/>
        <w:ind w:firstLine="0"/>
        <w:jc w:val="center"/>
      </w:pPr>
      <w:r>
        <w:rPr>
          <w:i/>
          <w:color w:val="000000"/>
        </w:rPr>
        <w:t xml:space="preserve">Figure 3. Algorithm 2: </w:t>
      </w:r>
      <w:r>
        <w:rPr>
          <w:i/>
          <w:color w:val="000000"/>
        </w:rPr>
        <w:t>evidence-aware course-to-learning-outcome scoring.</w:t>
      </w:r>
    </w:p>
    <w:p w14:paraId="3368AAE8" w14:textId="77777777" w:rsidR="00E921BC" w:rsidRDefault="00DD34C6">
      <w:pPr>
        <w:pStyle w:val="ICESTNormal"/>
        <w:ind w:firstLine="0"/>
      </w:pPr>
      <w:r>
        <w:rPr>
          <w:b/>
          <w:color w:val="000000"/>
          <w:sz w:val="16"/>
        </w:rPr>
        <w:t xml:space="preserve">Draft image-generation prompt (remove before submission): </w:t>
      </w:r>
      <w:r>
        <w:rPr>
          <w:i/>
          <w:color w:val="000000"/>
          <w:sz w:val="16"/>
        </w:rPr>
        <w:t xml:space="preserve">Create a left-to-right scientific pipeline for Algorithm 2. Inputs: one new programme LO and only courses from the selected education level, </w:t>
      </w:r>
      <w:r>
        <w:rPr>
          <w:i/>
          <w:color w:val="000000"/>
          <w:sz w:val="16"/>
        </w:rPr>
        <w:t>EPVO direction, and programme group. Stage A: multilingual text preparation for RU/KK/EN title and description. Stage B: SBERT embeddings and cosine similarity in parallel with normalized BM25 exact-term retrieval. Stage C: calibrated AI probability. Stage</w:t>
      </w:r>
      <w:r>
        <w:rPr>
          <w:i/>
          <w:color w:val="000000"/>
          <w:sz w:val="16"/>
        </w:rPr>
        <w:t xml:space="preserve"> D: retrieve historical expert votes 0/0.5/1 only from sufficiently similar source LOs; show conservative transfer threshold. Stage E: hard guards for level 6B/7M/8D, domain scope, foreign professional context, duplicates, and minimum LO evidence. Stage F:</w:t>
      </w:r>
      <w:r>
        <w:rPr>
          <w:i/>
          <w:color w:val="000000"/>
          <w:sz w:val="16"/>
        </w:rPr>
        <w:t xml:space="preserve"> rank candidates and display separate AI score, EPVO expert score, final relationship strength, source programme, and expert-feedback buttons. Include a red rejected-course path and a green admitted-course path. Emphasize that AI% and EPVO% are independent</w:t>
      </w:r>
      <w:r>
        <w:rPr>
          <w:i/>
          <w:color w:val="000000"/>
          <w:sz w:val="16"/>
        </w:rPr>
        <w:t xml:space="preserve"> evidence channels and are not added. White background, flat vector, concise English labels, navy/teal/amber/green/red, no invented numbers, editable SVG and 300-dpi PNG.</w:t>
      </w:r>
    </w:p>
    <w:p w14:paraId="517162BE" w14:textId="77777777" w:rsidR="00E921BC" w:rsidRDefault="00DD34C6">
      <w:pPr>
        <w:keepNext/>
        <w:spacing w:before="120" w:after="40"/>
      </w:pPr>
      <w:r>
        <w:rPr>
          <w:rFonts w:ascii="Times New Roman" w:eastAsia="Times New Roman" w:hAnsi="Times New Roman"/>
          <w:b/>
          <w:color w:val="000000"/>
        </w:rPr>
        <w:t>4.1. Auditable Admission and Domain Evidence</w:t>
      </w:r>
    </w:p>
    <w:p w14:paraId="05E5F269" w14:textId="77777777" w:rsidR="00E921BC" w:rsidRDefault="00DD34C6">
      <w:pPr>
        <w:pStyle w:val="ICESTNormal"/>
        <w:ind w:firstLine="283"/>
      </w:pPr>
      <w:r>
        <w:rPr>
          <w:color w:val="000000"/>
          <w:sz w:val="22"/>
        </w:rPr>
        <w:t>Candidate admission is stricter than nea</w:t>
      </w:r>
      <w:r>
        <w:rPr>
          <w:color w:val="000000"/>
          <w:sz w:val="22"/>
        </w:rPr>
        <w:t xml:space="preserve">rest-neighbour retrieval. Let </w:t>
      </w:r>
      <w:r>
        <w:rPr>
          <w:rFonts w:ascii="Cambria Math" w:eastAsia="Cambria Math" w:hAnsi="Cambria Math"/>
          <w:i/>
          <w:color w:val="000000"/>
          <w:sz w:val="22"/>
        </w:rPr>
        <w:t>I</w:t>
      </w:r>
      <w:r>
        <w:rPr>
          <w:rFonts w:ascii="Cambria Math" w:eastAsia="Cambria Math" w:hAnsi="Cambria Math"/>
          <w:i/>
          <w:color w:val="000000"/>
          <w:sz w:val="22"/>
          <w:vertAlign w:val="subscript"/>
        </w:rPr>
        <w:t>level</w:t>
      </w:r>
      <w:r>
        <w:rPr>
          <w:color w:val="000000"/>
          <w:sz w:val="22"/>
        </w:rPr>
        <w:t xml:space="preserve">, </w:t>
      </w:r>
      <w:r>
        <w:rPr>
          <w:rFonts w:ascii="Cambria Math" w:eastAsia="Cambria Math" w:hAnsi="Cambria Math"/>
          <w:i/>
          <w:color w:val="000000"/>
          <w:sz w:val="22"/>
        </w:rPr>
        <w:t>I</w:t>
      </w:r>
      <w:r>
        <w:rPr>
          <w:rFonts w:ascii="Cambria Math" w:eastAsia="Cambria Math" w:hAnsi="Cambria Math"/>
          <w:i/>
          <w:color w:val="000000"/>
          <w:sz w:val="22"/>
          <w:vertAlign w:val="subscript"/>
        </w:rPr>
        <w:t>scope</w:t>
      </w:r>
      <w:r>
        <w:rPr>
          <w:color w:val="000000"/>
          <w:sz w:val="22"/>
        </w:rPr>
        <w:t xml:space="preserve">, </w:t>
      </w:r>
      <w:r>
        <w:rPr>
          <w:rFonts w:ascii="Cambria Math" w:eastAsia="Cambria Math" w:hAnsi="Cambria Math"/>
          <w:i/>
          <w:color w:val="000000"/>
          <w:sz w:val="22"/>
        </w:rPr>
        <w:t>I</w:t>
      </w:r>
      <w:r>
        <w:rPr>
          <w:rFonts w:ascii="Cambria Math" w:eastAsia="Cambria Math" w:hAnsi="Cambria Math"/>
          <w:i/>
          <w:color w:val="000000"/>
          <w:sz w:val="22"/>
          <w:vertAlign w:val="subscript"/>
        </w:rPr>
        <w:t>LO</w:t>
      </w:r>
      <w:r>
        <w:rPr>
          <w:color w:val="000000"/>
          <w:sz w:val="22"/>
        </w:rPr>
        <w:t xml:space="preserve">, and </w:t>
      </w:r>
      <w:r>
        <w:rPr>
          <w:rFonts w:ascii="Cambria Math" w:eastAsia="Cambria Math" w:hAnsi="Cambria Math"/>
          <w:i/>
          <w:color w:val="000000"/>
          <w:sz w:val="22"/>
        </w:rPr>
        <w:t>I</w:t>
      </w:r>
      <w:r>
        <w:rPr>
          <w:rFonts w:ascii="Cambria Math" w:eastAsia="Cambria Math" w:hAnsi="Cambria Math"/>
          <w:i/>
          <w:color w:val="000000"/>
          <w:sz w:val="22"/>
          <w:vertAlign w:val="subscript"/>
        </w:rPr>
        <w:t>context</w:t>
      </w:r>
      <w:r>
        <w:rPr>
          <w:color w:val="000000"/>
          <w:sz w:val="22"/>
        </w:rPr>
        <w:t xml:space="preserve"> denote binary checks for education level, EPVO direction or group, minimum learning-outcome evidence, and absence of a foreign professional context. A candidate can enter the optimisation pool</w:t>
      </w:r>
      <w:r>
        <w:rPr>
          <w:color w:val="000000"/>
          <w:sz w:val="22"/>
        </w:rPr>
        <w:t xml:space="preserve"> only when their product equals one. This rule blocks, for example, a master's robotics course from entering a bachelor's programme and prevents a generic occurrence of the word digital from legitimising an unrelated professional discipline.</w:t>
      </w:r>
    </w:p>
    <w:p w14:paraId="61916263" w14:textId="77777777" w:rsidR="00E921BC" w:rsidRDefault="00DD34C6">
      <w:pPr>
        <w:pStyle w:val="ICESTNormal"/>
        <w:ind w:firstLine="283"/>
      </w:pPr>
      <w:r>
        <w:rPr>
          <w:color w:val="000000"/>
          <w:sz w:val="22"/>
        </w:rPr>
        <w:t xml:space="preserve">Deduplication </w:t>
      </w:r>
      <w:r>
        <w:rPr>
          <w:color w:val="000000"/>
          <w:sz w:val="22"/>
        </w:rPr>
        <w:t>is performed before domain accounting. Several source cards may normalize to one canonical course while retaining evidence from different programmes. Domain evidence is therefore aggregated over every source record rather than inherited from the last datab</w:t>
      </w:r>
      <w:r>
        <w:rPr>
          <w:color w:val="000000"/>
          <w:sz w:val="22"/>
        </w:rPr>
        <w:t>ase row. Exact programme-group evidence has priority over direction-level evidence, while a course supported by both selected domains can contribute to an interdisciplinary quota. The approach prevents database ordering from changing curriculum composition</w:t>
      </w:r>
      <w:r>
        <w:rPr>
          <w:color w:val="000000"/>
          <w:sz w:val="22"/>
        </w:rPr>
        <w:t>.</w:t>
      </w:r>
    </w:p>
    <w:p w14:paraId="21784B4E" w14:textId="77777777" w:rsidR="00E921BC" w:rsidRDefault="00DD34C6">
      <w:pPr>
        <w:pStyle w:val="ICESTNormal"/>
        <w:ind w:firstLine="283"/>
      </w:pPr>
      <w:r>
        <w:rPr>
          <w:color w:val="000000"/>
          <w:sz w:val="22"/>
        </w:rPr>
        <w:t>A selected course must support at least one programme learning outcome. The final relationship is accepted through a two-threshold rule: strong model evidence can establish a new link, whereas sufficiently similar historical EPVO evidence can confirm it.</w:t>
      </w:r>
      <w:r>
        <w:rPr>
          <w:color w:val="000000"/>
          <w:sz w:val="22"/>
        </w:rPr>
        <w:t xml:space="preserve"> Weak signals remain visible but do not satisfy the real-course coverage invariant. Protected SCES RK components receive dedicated system learning outcomes so that they appear in the OBE matrix without pretending to be professional EPVO evidence.</w:t>
      </w:r>
    </w:p>
    <w:p w14:paraId="1EEDB2EC" w14:textId="21D5A904"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r>
            <w:rPr>
              <w:rFonts w:ascii="Cambria Math" w:eastAsia="Cambria Math" w:hAnsi="Cambria Math"/>
              <w:color w:val="000000"/>
              <w:sz w:val="18"/>
            </w:rPr>
            <m:t>=</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K</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o</m:t>
                          </m:r>
                        </m:e>
                        <m:sub>
                          <m:r>
                            <w:rPr>
                              <w:rFonts w:ascii="Cambria Math" w:eastAsia="Cambria Math" w:hAnsi="Cambria Math"/>
                              <w:color w:val="000000"/>
                              <w:sz w:val="18"/>
                            </w:rPr>
                            <m:t>j</m:t>
                          </m:r>
                        </m:sub>
                      </m:sSub>
                    </m:e>
                  </m:d>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l</m:t>
                      </m:r>
                    </m:e>
                  </m:d>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K</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o</m:t>
                          </m:r>
                        </m:e>
                        <m:sub>
                          <m:r>
                            <w:rPr>
                              <w:rFonts w:ascii="Cambria Math" w:eastAsia="Cambria Math" w:hAnsi="Cambria Math"/>
                              <w:color w:val="000000"/>
                              <w:sz w:val="18"/>
                            </w:rPr>
                            <m:t>j</m:t>
                          </m:r>
                        </m:sub>
                      </m:sSub>
                    </m:e>
                  </m:d>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l</m:t>
                      </m:r>
                    </m:e>
                  </m:d>
                </m:e>
              </m:d>
            </m:den>
          </m:f>
        </m:oMath>
      </m:oMathPara>
    </w:p>
    <w:p w14:paraId="1FF5DB6E" w14:textId="77777777" w:rsidR="00E921BC" w:rsidRDefault="00DD34C6">
      <w:pPr>
        <w:pStyle w:val="ICESTNormal"/>
        <w:keepNext/>
        <w:spacing w:after="20" w:line="192" w:lineRule="auto"/>
        <w:ind w:firstLine="0"/>
        <w:jc w:val="right"/>
      </w:pPr>
      <w:r>
        <w:rPr>
          <w:color w:val="000000"/>
          <w:sz w:val="16"/>
        </w:rPr>
        <w:t>(7)</w:t>
      </w:r>
    </w:p>
    <w:p w14:paraId="35EFE0AE" w14:textId="77777777" w:rsidR="00E921BC" w:rsidRDefault="00DD34C6">
      <w:pPr>
        <w:pStyle w:val="ICESTNormal"/>
        <w:spacing w:after="40"/>
        <w:ind w:firstLine="0"/>
      </w:pPr>
      <w:r>
        <w:rPr>
          <w:i/>
          <w:color w:val="000000"/>
          <w:sz w:val="18"/>
        </w:rPr>
        <w:t xml:space="preserve">K(.) extracts key concepts; </w:t>
      </w:r>
      <w:r>
        <w:rPr>
          <w:rFonts w:ascii="Cambria Math" w:eastAsia="Cambria Math" w:hAnsi="Cambria Math"/>
          <w:i/>
          <w:color w:val="000000"/>
          <w:sz w:val="18"/>
        </w:rPr>
        <w:t>a</w:t>
      </w:r>
      <w:r>
        <w:rPr>
          <w:rFonts w:ascii="Cambria Math" w:eastAsia="Cambria Math" w:hAnsi="Cambria Math"/>
          <w:i/>
          <w:color w:val="000000"/>
          <w:sz w:val="18"/>
          <w:vertAlign w:val="subscript"/>
        </w:rPr>
        <w:t>jl</w:t>
      </w:r>
      <w:r>
        <w:rPr>
          <w:i/>
          <w:color w:val="000000"/>
          <w:sz w:val="18"/>
        </w:rPr>
        <w:t xml:space="preserve"> prevents an expert score from being transferred between outcomes that only share a course title.</w:t>
      </w:r>
    </w:p>
    <w:p w14:paraId="4E8B4542" w14:textId="008B2941"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ij</m:t>
              </m:r>
            </m:sub>
          </m:sSub>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max</m:t>
                  </m:r>
                </m:e>
                <m:lim>
                  <m:r>
                    <w:rPr>
                      <w:rFonts w:ascii="Cambria Math" w:eastAsia="Cambria Math" w:hAnsi="Cambria Math"/>
                      <w:color w:val="000000"/>
                      <w:sz w:val="18"/>
                    </w:rPr>
                    <m:t>l</m:t>
                  </m:r>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y</m:t>
                          </m:r>
                        </m:e>
                        <m:sub>
                          <m:d>
                            <m:dPr>
                              <m:ctrlPr>
                                <w:rPr>
                                  <w:rFonts w:ascii="Cambria Math" w:eastAsia="Cambria Math" w:hAnsi="Cambria Math"/>
                                  <w:i/>
                                  <w:color w:val="000000"/>
                                  <w:sz w:val="18"/>
                                </w:rPr>
                              </m:ctrlPr>
                            </m:dPr>
                            <m:e>
                              <m:r>
                                <w:rPr>
                                  <w:rFonts w:ascii="Cambria Math" w:eastAsia="Cambria Math" w:hAnsi="Cambria Math"/>
                                  <w:color w:val="000000"/>
                                  <w:sz w:val="18"/>
                                </w:rPr>
                                <m:t>pil</m:t>
                              </m:r>
                            </m:e>
                          </m:d>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jl</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τ</m:t>
                          </m:r>
                        </m:e>
                        <m:sub>
                          <m:r>
                            <w:rPr>
                              <w:rFonts w:ascii="Cambria Math" w:eastAsia="Cambria Math" w:hAnsi="Cambria Math"/>
                              <w:color w:val="000000"/>
                              <w:sz w:val="18"/>
                            </w:rPr>
                            <m:t>e</m:t>
                          </m:r>
                        </m:sub>
                      </m:sSub>
                    </m:e>
                  </m:d>
                  <m:ctrlPr>
                    <w:rPr>
                      <w:rFonts w:ascii="Cambria Math" w:eastAsia="Cambria Math" w:hAnsi="Cambria Math"/>
                      <w:color w:val="000000"/>
                      <w:sz w:val="18"/>
                    </w:rPr>
                  </m:ctrlPr>
                </m:lim>
              </m:limLow>
            </m:fName>
            <m:e/>
          </m:func>
          <m:r>
            <w:rPr>
              <w:rFonts w:ascii="Cambria Math" w:eastAsia="Cambria Math" w:hAnsi="Cambria Math"/>
              <w:color w:val="000000"/>
              <w:sz w:val="18"/>
            </w:rPr>
            <m:t>}</m:t>
          </m:r>
        </m:oMath>
      </m:oMathPara>
    </w:p>
    <w:p w14:paraId="4FECCAD8" w14:textId="77777777" w:rsidR="00E921BC" w:rsidRDefault="00DD34C6">
      <w:pPr>
        <w:pStyle w:val="ICESTNormal"/>
        <w:keepNext/>
        <w:spacing w:after="20" w:line="192" w:lineRule="auto"/>
        <w:ind w:firstLine="0"/>
        <w:jc w:val="right"/>
      </w:pPr>
      <w:r>
        <w:rPr>
          <w:color w:val="000000"/>
          <w:sz w:val="16"/>
        </w:rPr>
        <w:t>(8)</w:t>
      </w:r>
    </w:p>
    <w:p w14:paraId="4A2EA074" w14:textId="77777777" w:rsidR="00E921BC" w:rsidRDefault="00DD34C6">
      <w:pPr>
        <w:pStyle w:val="ICESTNormal"/>
        <w:spacing w:after="40"/>
        <w:ind w:firstLine="0"/>
      </w:pPr>
      <w:r>
        <w:rPr>
          <w:i/>
          <w:color w:val="000000"/>
          <w:sz w:val="18"/>
        </w:rPr>
        <w:t xml:space="preserve">Transferred EPVO evidence </w:t>
      </w:r>
      <w:r>
        <w:rPr>
          <w:rFonts w:ascii="Cambria Math" w:eastAsia="Cambria Math" w:hAnsi="Cambria Math"/>
          <w:i/>
          <w:color w:val="000000"/>
          <w:sz w:val="18"/>
        </w:rPr>
        <w:t>e</w:t>
      </w:r>
      <w:r>
        <w:rPr>
          <w:rFonts w:ascii="Cambria Math" w:eastAsia="Cambria Math" w:hAnsi="Cambria Math"/>
          <w:i/>
          <w:color w:val="000000"/>
          <w:sz w:val="18"/>
          <w:vertAlign w:val="subscript"/>
        </w:rPr>
        <w:t>ij</w:t>
      </w:r>
      <w:r>
        <w:rPr>
          <w:i/>
          <w:color w:val="000000"/>
          <w:sz w:val="18"/>
        </w:rPr>
        <w:t xml:space="preserve"> is the strongest contextually admissible product of historical expert strengt</w:t>
      </w:r>
      <w:r>
        <w:rPr>
          <w:i/>
          <w:color w:val="000000"/>
          <w:sz w:val="18"/>
        </w:rPr>
        <w:t>h and outcome similarity.</w:t>
      </w:r>
    </w:p>
    <w:p w14:paraId="79CE4FC3" w14:textId="2664EE1B"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A</m:t>
              </m:r>
            </m:e>
            <m:sub>
              <m:r>
                <w:rPr>
                  <w:rFonts w:ascii="Cambria Math" w:eastAsia="Cambria Math" w:hAnsi="Cambria Math"/>
                  <w:color w:val="000000"/>
                  <w:sz w:val="18"/>
                </w:rPr>
                <m:t>i</m:t>
              </m:r>
            </m:sub>
          </m:sSub>
          <m:r>
            <w:rPr>
              <w:rFonts w:ascii="Cambria Math" w:eastAsia="Cambria Math" w:hAnsi="Cambria Math"/>
              <w:color w:val="000000"/>
              <w:sz w:val="18"/>
            </w:rPr>
            <m:t>=</m:t>
          </m:r>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level</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scope</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LO</m:t>
              </m:r>
            </m:sup>
          </m:sSubSup>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context</m:t>
              </m:r>
            </m:sup>
          </m:sSubSup>
        </m:oMath>
      </m:oMathPara>
    </w:p>
    <w:p w14:paraId="7AD6F2EF" w14:textId="77777777" w:rsidR="00E921BC" w:rsidRDefault="00DD34C6">
      <w:pPr>
        <w:pStyle w:val="ICESTNormal"/>
        <w:keepNext/>
        <w:spacing w:after="20" w:line="192" w:lineRule="auto"/>
        <w:ind w:firstLine="0"/>
        <w:jc w:val="right"/>
      </w:pPr>
      <w:r>
        <w:rPr>
          <w:color w:val="000000"/>
          <w:sz w:val="16"/>
        </w:rPr>
        <w:t>(9)</w:t>
      </w:r>
    </w:p>
    <w:p w14:paraId="2332A7D9" w14:textId="77777777" w:rsidR="00E921BC" w:rsidRDefault="00DD34C6">
      <w:pPr>
        <w:pStyle w:val="ICESTNormal"/>
        <w:spacing w:after="40"/>
        <w:ind w:firstLine="0"/>
      </w:pPr>
      <w:r>
        <w:rPr>
          <w:i/>
          <w:color w:val="000000"/>
          <w:sz w:val="18"/>
        </w:rPr>
        <w:t xml:space="preserve">The Boolean admission indicator </w:t>
      </w:r>
      <w:r>
        <w:rPr>
          <w:rFonts w:ascii="Cambria Math" w:eastAsia="Cambria Math" w:hAnsi="Cambria Math"/>
          <w:i/>
          <w:color w:val="000000"/>
          <w:sz w:val="18"/>
        </w:rPr>
        <w:t>A</w:t>
      </w:r>
      <w:r>
        <w:rPr>
          <w:rFonts w:ascii="Cambria Math" w:eastAsia="Cambria Math" w:hAnsi="Cambria Math"/>
          <w:i/>
          <w:color w:val="000000"/>
          <w:sz w:val="18"/>
          <w:vertAlign w:val="subscript"/>
        </w:rPr>
        <w:t>i</w:t>
      </w:r>
      <w:r>
        <w:rPr>
          <w:i/>
          <w:color w:val="000000"/>
          <w:sz w:val="18"/>
        </w:rPr>
        <w:t xml:space="preserve"> equals one only when level, programme scope, LO evidence, and professional-context guards all pass.</w:t>
      </w:r>
    </w:p>
    <w:p w14:paraId="695DEE65" w14:textId="7E70344D"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w</m:t>
              </m:r>
            </m:e>
            <m:sub>
              <m:r>
                <w:rPr>
                  <w:rFonts w:ascii="Cambria Math" w:eastAsia="Cambria Math" w:hAnsi="Cambria Math"/>
                  <w:color w:val="000000"/>
                  <w:sz w:val="18"/>
                </w:rPr>
                <m:t>ij</m:t>
              </m:r>
            </m:sub>
          </m:sSub>
          <m:r>
            <w:rPr>
              <w:rFonts w:ascii="Cambria Math" w:eastAsia="Cambria Math" w:hAnsi="Cambria Math"/>
              <w:color w:val="000000"/>
              <w:sz w:val="18"/>
            </w:rPr>
            <m:t>=</m:t>
          </m:r>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max</m:t>
              </m:r>
              <m:ctrlPr>
                <w:rPr>
                  <w:rFonts w:ascii="Cambria Math" w:eastAsia="Cambria Math" w:hAnsi="Cambria Math"/>
                  <w:i/>
                  <w:color w:val="000000"/>
                  <w:sz w:val="18"/>
                </w:rPr>
              </m:ctrlPr>
            </m:fName>
            <m:e>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p</m:t>
                      </m:r>
                    </m:e>
                    <m:sub>
                      <m:r>
                        <w:rPr>
                          <w:rFonts w:ascii="Cambria Math" w:eastAsia="Cambria Math" w:hAnsi="Cambria Math"/>
                          <w:color w:val="000000"/>
                          <w:sz w:val="18"/>
                        </w:rPr>
                        <m:t>ij</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ij</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ij</m:t>
                      </m:r>
                    </m:sub>
                  </m:sSub>
                </m:e>
              </m:d>
            </m:e>
          </m:func>
        </m:oMath>
      </m:oMathPara>
    </w:p>
    <w:p w14:paraId="538F8C3B" w14:textId="77777777" w:rsidR="00E921BC" w:rsidRDefault="00DD34C6">
      <w:pPr>
        <w:pStyle w:val="ICESTNormal"/>
        <w:keepNext/>
        <w:spacing w:after="20" w:line="192" w:lineRule="auto"/>
        <w:ind w:firstLine="0"/>
        <w:jc w:val="right"/>
      </w:pPr>
      <w:r>
        <w:rPr>
          <w:color w:val="000000"/>
          <w:sz w:val="16"/>
        </w:rPr>
        <w:t>(10)</w:t>
      </w:r>
    </w:p>
    <w:p w14:paraId="450390B8" w14:textId="77777777" w:rsidR="00E921BC" w:rsidRDefault="00DD34C6">
      <w:pPr>
        <w:pStyle w:val="ICESTNormal"/>
        <w:spacing w:after="40"/>
        <w:ind w:firstLine="0"/>
      </w:pPr>
      <w:r>
        <w:rPr>
          <w:i/>
          <w:color w:val="000000"/>
          <w:sz w:val="18"/>
        </w:rPr>
        <w:t xml:space="preserve">Final link strength </w:t>
      </w:r>
      <w:r>
        <w:rPr>
          <w:rFonts w:ascii="Cambria Math" w:eastAsia="Cambria Math" w:hAnsi="Cambria Math"/>
          <w:i/>
          <w:color w:val="000000"/>
          <w:sz w:val="18"/>
        </w:rPr>
        <w:t>w</w:t>
      </w:r>
      <w:r>
        <w:rPr>
          <w:rFonts w:ascii="Cambria Math" w:eastAsia="Cambria Math" w:hAnsi="Cambria Math"/>
          <w:i/>
          <w:color w:val="000000"/>
          <w:sz w:val="18"/>
          <w:vertAlign w:val="subscript"/>
        </w:rPr>
        <w:t>ij</w:t>
      </w:r>
      <w:r>
        <w:rPr>
          <w:i/>
          <w:color w:val="000000"/>
          <w:sz w:val="18"/>
        </w:rPr>
        <w:t xml:space="preserve"> uses the strongest admissible channel: calibrated AI prediction, transferred EPVO evi</w:t>
      </w:r>
      <w:r>
        <w:rPr>
          <w:i/>
          <w:color w:val="000000"/>
          <w:sz w:val="18"/>
        </w:rPr>
        <w:t xml:space="preserve">dence, or confirmed local expert feedback </w:t>
      </w:r>
      <w:r>
        <w:rPr>
          <w:rFonts w:ascii="Cambria Math" w:eastAsia="Cambria Math" w:hAnsi="Cambria Math"/>
          <w:i/>
          <w:color w:val="000000"/>
          <w:sz w:val="18"/>
        </w:rPr>
        <w:t>f</w:t>
      </w:r>
      <w:r>
        <w:rPr>
          <w:rFonts w:ascii="Cambria Math" w:eastAsia="Cambria Math" w:hAnsi="Cambria Math"/>
          <w:i/>
          <w:color w:val="000000"/>
          <w:sz w:val="18"/>
          <w:vertAlign w:val="subscript"/>
        </w:rPr>
        <w:t>ij</w:t>
      </w:r>
      <w:r>
        <w:rPr>
          <w:i/>
          <w:color w:val="000000"/>
          <w:sz w:val="18"/>
        </w:rPr>
        <w:t>.</w:t>
      </w:r>
    </w:p>
    <w:p w14:paraId="34D3C227" w14:textId="77777777" w:rsidR="00E921BC" w:rsidRDefault="00DD34C6">
      <w:pPr>
        <w:keepNext/>
        <w:spacing w:before="120" w:after="40"/>
      </w:pPr>
      <w:r>
        <w:rPr>
          <w:rFonts w:ascii="Times New Roman" w:eastAsia="Times New Roman" w:hAnsi="Times New Roman"/>
          <w:b/>
          <w:color w:val="000000"/>
        </w:rPr>
        <w:t>4.2. Exact Credits, Bridge Control, and Regulatory Closure</w:t>
      </w:r>
    </w:p>
    <w:p w14:paraId="3ACC2DCE" w14:textId="77777777" w:rsidR="00E921BC" w:rsidRDefault="00DD34C6">
      <w:pPr>
        <w:pStyle w:val="ICESTNormal"/>
        <w:ind w:firstLine="283"/>
      </w:pPr>
      <w:r>
        <w:rPr>
          <w:color w:val="000000"/>
          <w:sz w:val="22"/>
        </w:rPr>
        <w:t>Credit fitting treats a real course as an atomic unit. Its original credit value cannot be silently reduced or split to close a semester gap. After th</w:t>
      </w:r>
      <w:r>
        <w:rPr>
          <w:color w:val="000000"/>
          <w:sz w:val="22"/>
        </w:rPr>
        <w:t>e protected SCES RK block is inserted, the remaining professional-credit target is solved as an exact-fit selection problem over admissible course credits. Dynamic programming retains the best evidence-bearing combination for every reachable credit sum and</w:t>
      </w:r>
      <w:r>
        <w:rPr>
          <w:color w:val="000000"/>
          <w:sz w:val="22"/>
        </w:rPr>
        <w:t xml:space="preserve"> selects the exact remainder before considering a synthetic filler.</w:t>
      </w:r>
    </w:p>
    <w:p w14:paraId="4606174B" w14:textId="77777777" w:rsidR="00E921BC" w:rsidRDefault="00DD34C6">
      <w:pPr>
        <w:pStyle w:val="ICESTNormal"/>
        <w:ind w:firstLine="283"/>
      </w:pPr>
      <w:r>
        <w:rPr>
          <w:color w:val="000000"/>
          <w:sz w:val="22"/>
        </w:rPr>
        <w:t>Bridge modules have two legitimate roles: they may represent genuinely new content at the intersection of fields, or they may close a learning-outcome gap for which the repository has no s</w:t>
      </w:r>
      <w:r>
        <w:rPr>
          <w:color w:val="000000"/>
          <w:sz w:val="22"/>
        </w:rPr>
        <w:t>ufficiently supported real course. A generic component placeholder is never treated as a discipline. The replacement service retrieves three real alternatives, exposes title, description, credits, level, AI evidence, EPVO evidence, and prerequisites, and s</w:t>
      </w:r>
      <w:r>
        <w:rPr>
          <w:color w:val="000000"/>
          <w:sz w:val="22"/>
        </w:rPr>
        <w:t>tores the expert's selection for the next transactional generation.</w:t>
      </w:r>
    </w:p>
    <w:p w14:paraId="72B881D1" w14:textId="77777777" w:rsidR="00E921BC" w:rsidRDefault="00DD34C6">
      <w:pPr>
        <w:pStyle w:val="ICESTNormal"/>
        <w:ind w:firstLine="283"/>
      </w:pPr>
      <w:r>
        <w:rPr>
          <w:color w:val="000000"/>
          <w:sz w:val="22"/>
        </w:rPr>
        <w:t>Regulatory closure is conditional on programme mode and level. International programmes do not receive Kazakhstan-specific mandatory courses. A programme created under SCES RK receives onl</w:t>
      </w:r>
      <w:r>
        <w:rPr>
          <w:color w:val="000000"/>
          <w:sz w:val="22"/>
        </w:rPr>
        <w:t>y the applicable bachelor's, master's, or doctoral components, including practice, research work, and final attestation with their prescribed credits. These elements are protected from suspicious-course replacement and from diversity mutations across A/B/C</w:t>
      </w:r>
      <w:r>
        <w:rPr>
          <w:color w:val="000000"/>
          <w:sz w:val="22"/>
        </w:rPr>
        <w:t>.</w:t>
      </w:r>
    </w:p>
    <w:p w14:paraId="2B592C82" w14:textId="115CE275" w:rsidR="00E921BC" w:rsidRDefault="00DD34C6">
      <w:pPr>
        <w:pStyle w:val="ICESTNormal"/>
        <w:keepNext/>
        <w:spacing w:before="60"/>
        <w:ind w:firstLine="0"/>
        <w:jc w:val="center"/>
      </w:pPr>
      <m:oMathPara>
        <m:oMath>
          <m:sSup>
            <m:sSupPr>
              <m:ctrlPr>
                <w:rPr>
                  <w:rFonts w:ascii="Cambria Math" w:eastAsia="Cambria Math" w:hAnsi="Cambria Math"/>
                  <w:i/>
                  <w:color w:val="000000"/>
                  <w:sz w:val="18"/>
                </w:rPr>
              </m:ctrlPr>
            </m:sSupPr>
            <m:e>
              <m:r>
                <w:rPr>
                  <w:rFonts w:ascii="Cambria Math" w:eastAsia="Cambria Math" w:hAnsi="Cambria Math"/>
                  <w:color w:val="000000"/>
                  <w:sz w:val="18"/>
                </w:rPr>
                <m:t>C</m:t>
              </m:r>
            </m:e>
            <m:sup>
              <m:r>
                <w:rPr>
                  <w:rFonts w:ascii="Cambria Math" w:eastAsia="Cambria Math" w:hAnsi="Cambria Math"/>
                  <w:color w:val="000000"/>
                  <w:sz w:val="18"/>
                </w:rPr>
                <m:t>*</m:t>
              </m:r>
            </m:sup>
          </m:sSup>
          <m:r>
            <w:rPr>
              <w:rFonts w:ascii="Cambria Math" w:eastAsia="Cambria Math" w:hAnsi="Cambria Math"/>
              <w:color w:val="000000"/>
              <w:sz w:val="18"/>
            </w:rPr>
            <m:t>-δ≤</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e>
          </m:nary>
          <m:r>
            <w:rPr>
              <w:rFonts w:ascii="Cambria Math" w:eastAsia="Cambria Math" w:hAnsi="Cambria Math"/>
              <w:color w:val="000000"/>
              <w:sz w:val="18"/>
            </w:rPr>
            <m:t>≤</m:t>
          </m:r>
          <m:sSup>
            <m:sSupPr>
              <m:ctrlPr>
                <w:rPr>
                  <w:rFonts w:ascii="Cambria Math" w:eastAsia="Cambria Math" w:hAnsi="Cambria Math"/>
                  <w:i/>
                  <w:color w:val="000000"/>
                  <w:sz w:val="18"/>
                </w:rPr>
              </m:ctrlPr>
            </m:sSupPr>
            <m:e>
              <m:r>
                <w:rPr>
                  <w:rFonts w:ascii="Cambria Math" w:eastAsia="Cambria Math" w:hAnsi="Cambria Math"/>
                  <w:color w:val="000000"/>
                  <w:sz w:val="18"/>
                </w:rPr>
                <m:t>C</m:t>
              </m:r>
            </m:e>
            <m:sup>
              <m:r>
                <w:rPr>
                  <w:rFonts w:ascii="Cambria Math" w:eastAsia="Cambria Math" w:hAnsi="Cambria Math"/>
                  <w:color w:val="000000"/>
                  <w:sz w:val="18"/>
                </w:rPr>
                <m:t>*</m:t>
              </m:r>
            </m:sup>
          </m:sSup>
          <m:r>
            <w:rPr>
              <w:rFonts w:ascii="Cambria Math" w:eastAsia="Cambria Math" w:hAnsi="Cambria Math"/>
              <w:color w:val="000000"/>
              <w:sz w:val="18"/>
            </w:rPr>
            <m:t>+δ</m:t>
          </m:r>
        </m:oMath>
      </m:oMathPara>
    </w:p>
    <w:p w14:paraId="170D3B30" w14:textId="77777777" w:rsidR="00E921BC" w:rsidRDefault="00DD34C6">
      <w:pPr>
        <w:pStyle w:val="ICESTNormal"/>
        <w:keepNext/>
        <w:spacing w:after="20" w:line="192" w:lineRule="auto"/>
        <w:ind w:firstLine="0"/>
        <w:jc w:val="right"/>
      </w:pPr>
      <w:r>
        <w:rPr>
          <w:color w:val="000000"/>
          <w:sz w:val="16"/>
        </w:rPr>
        <w:t>(11)</w:t>
      </w:r>
    </w:p>
    <w:p w14:paraId="71A4709C" w14:textId="77777777" w:rsidR="00E921BC" w:rsidRDefault="00DD34C6">
      <w:pPr>
        <w:pStyle w:val="ICESTNormal"/>
        <w:spacing w:after="40"/>
        <w:ind w:firstLine="0"/>
      </w:pPr>
      <w:r>
        <w:rPr>
          <w:i/>
          <w:color w:val="000000"/>
          <w:sz w:val="18"/>
        </w:rPr>
        <w:t xml:space="preserve">C* is the programme credit target, delta is the declared tolerance, </w:t>
      </w:r>
      <w:r>
        <w:rPr>
          <w:rFonts w:ascii="Cambria Math" w:eastAsia="Cambria Math" w:hAnsi="Cambria Math"/>
          <w:i/>
          <w:color w:val="000000"/>
          <w:sz w:val="18"/>
        </w:rPr>
        <w:t>c</w:t>
      </w:r>
      <w:r>
        <w:rPr>
          <w:rFonts w:ascii="Cambria Math" w:eastAsia="Cambria Math" w:hAnsi="Cambria Math"/>
          <w:i/>
          <w:color w:val="000000"/>
          <w:sz w:val="18"/>
          <w:vertAlign w:val="subscript"/>
        </w:rPr>
        <w:t>i</w:t>
      </w:r>
      <w:r>
        <w:rPr>
          <w:i/>
          <w:color w:val="000000"/>
          <w:sz w:val="18"/>
        </w:rPr>
        <w:t xml:space="preserve"> is the immutable credit value of a real course, and </w:t>
      </w:r>
      <w:r>
        <w:rPr>
          <w:rFonts w:ascii="Cambria Math" w:eastAsia="Cambria Math" w:hAnsi="Cambria Math"/>
          <w:i/>
          <w:color w:val="000000"/>
          <w:sz w:val="18"/>
        </w:rPr>
        <w:t>x</w:t>
      </w:r>
      <w:r>
        <w:rPr>
          <w:rFonts w:ascii="Cambria Math" w:eastAsia="Cambria Math" w:hAnsi="Cambria Math"/>
          <w:i/>
          <w:color w:val="000000"/>
          <w:sz w:val="18"/>
          <w:vertAlign w:val="subscript"/>
        </w:rPr>
        <w:t>i</w:t>
      </w:r>
      <w:r>
        <w:rPr>
          <w:i/>
          <w:color w:val="000000"/>
          <w:sz w:val="18"/>
        </w:rPr>
        <w:t xml:space="preserve"> indicates selection.</w:t>
      </w:r>
    </w:p>
    <w:p w14:paraId="4C80F826" w14:textId="1BC3245E"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r>
                <w:rPr>
                  <w:rFonts w:ascii="Cambria Math" w:eastAsia="Cambria Math" w:hAnsi="Cambria Math"/>
                  <w:color w:val="000000"/>
                  <w:sz w:val="18"/>
                </w:rPr>
                <m:t>i</m:t>
              </m:r>
              <m:d>
                <m:dPr>
                  <m:ctrlPr>
                    <w:rPr>
                      <w:rFonts w:ascii="Cambria Math" w:eastAsia="Cambria Math" w:hAnsi="Cambria Math"/>
                      <w:i/>
                      <w:color w:val="000000"/>
                      <w:sz w:val="18"/>
                    </w:rPr>
                  </m:ctrlPr>
                </m:dPr>
                <m:e>
                  <m:r>
                    <w:rPr>
                      <w:rFonts w:ascii="Cambria Math" w:eastAsia="Cambria Math" w:hAnsi="Cambria Math"/>
                      <w:color w:val="000000"/>
                      <w:sz w:val="18"/>
                    </w:rPr>
                    <m:t>k</m:t>
                  </m:r>
                </m:e>
              </m:d>
            </m:sub>
          </m:sSub>
          <m:r>
            <w:rPr>
              <w:rFonts w:ascii="Cambria Math" w:eastAsia="Cambria Math" w:hAnsi="Cambria Math"/>
              <w:color w:val="000000"/>
              <w:sz w:val="18"/>
            </w:rPr>
            <m:t>=</m:t>
          </m:r>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max</m:t>
              </m:r>
              <m:ctrlPr>
                <w:rPr>
                  <w:rFonts w:ascii="Cambria Math" w:eastAsia="Cambria Math" w:hAnsi="Cambria Math"/>
                  <w:i/>
                  <w:color w:val="000000"/>
                  <w:sz w:val="18"/>
                </w:rPr>
              </m:ctrlPr>
            </m:fName>
            <m:e>
              <m:d>
                <m:dPr>
                  <m:begChr m:val="{"/>
                  <m:endChr m:val="}"/>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d>
                        <m:dPr>
                          <m:ctrlPr>
                            <w:rPr>
                              <w:rFonts w:ascii="Cambria Math" w:eastAsia="Cambria Math" w:hAnsi="Cambria Math"/>
                              <w:i/>
                              <w:color w:val="000000"/>
                              <w:sz w:val="18"/>
                            </w:rPr>
                          </m:ctrlPr>
                        </m:dPr>
                        <m:e>
                          <m:r>
                            <w:rPr>
                              <w:rFonts w:ascii="Cambria Math" w:eastAsia="Cambria Math" w:hAnsi="Cambria Math"/>
                              <w:color w:val="000000"/>
                              <w:sz w:val="18"/>
                            </w:rPr>
                            <m:t>i-1</m:t>
                          </m:r>
                        </m:e>
                      </m:d>
                      <m:d>
                        <m:dPr>
                          <m:ctrlPr>
                            <w:rPr>
                              <w:rFonts w:ascii="Cambria Math" w:eastAsia="Cambria Math" w:hAnsi="Cambria Math"/>
                              <w:i/>
                              <w:color w:val="000000"/>
                              <w:sz w:val="18"/>
                            </w:rPr>
                          </m:ctrlPr>
                        </m:dPr>
                        <m:e>
                          <m:r>
                            <w:rPr>
                              <w:rFonts w:ascii="Cambria Math" w:eastAsia="Cambria Math" w:hAnsi="Cambria Math"/>
                              <w:color w:val="000000"/>
                              <w:sz w:val="18"/>
                            </w:rPr>
                            <m:t>k</m:t>
                          </m:r>
                        </m:e>
                      </m:d>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D</m:t>
                      </m:r>
                    </m:e>
                    <m:sub>
                      <m:d>
                        <m:dPr>
                          <m:ctrlPr>
                            <w:rPr>
                              <w:rFonts w:ascii="Cambria Math" w:eastAsia="Cambria Math" w:hAnsi="Cambria Math"/>
                              <w:i/>
                              <w:color w:val="000000"/>
                              <w:sz w:val="18"/>
                            </w:rPr>
                          </m:ctrlPr>
                        </m:dPr>
                        <m:e>
                          <m:r>
                            <w:rPr>
                              <w:rFonts w:ascii="Cambria Math" w:eastAsia="Cambria Math" w:hAnsi="Cambria Math"/>
                              <w:color w:val="000000"/>
                              <w:sz w:val="18"/>
                            </w:rPr>
                            <m:t>i-1</m:t>
                          </m:r>
                        </m:e>
                      </m:d>
                      <m:d>
                        <m:dPr>
                          <m:ctrlPr>
                            <w:rPr>
                              <w:rFonts w:ascii="Cambria Math" w:eastAsia="Cambria Math" w:hAnsi="Cambria Math"/>
                              <w:i/>
                              <w:color w:val="000000"/>
                              <w:sz w:val="18"/>
                            </w:rPr>
                          </m:ctrlPr>
                        </m:dPr>
                        <m:e>
                          <m:r>
                            <w:rPr>
                              <w:rFonts w:ascii="Cambria Math" w:eastAsia="Cambria Math" w:hAnsi="Cambria Math"/>
                              <w:color w:val="000000"/>
                              <w:sz w:val="18"/>
                            </w:rPr>
                            <m:t>k-</m:t>
                          </m:r>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e>
                      </m:d>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q</m:t>
                      </m:r>
                    </m:e>
                    <m:sub>
                      <m:r>
                        <w:rPr>
                          <w:rFonts w:ascii="Cambria Math" w:eastAsia="Cambria Math" w:hAnsi="Cambria Math"/>
                          <w:color w:val="000000"/>
                          <w:sz w:val="18"/>
                        </w:rPr>
                        <m:t>i</m:t>
                      </m:r>
                    </m:sub>
                  </m:sSub>
                </m:e>
              </m:d>
            </m:e>
          </m:func>
        </m:oMath>
      </m:oMathPara>
    </w:p>
    <w:p w14:paraId="0ABC9DCE" w14:textId="77777777" w:rsidR="00E921BC" w:rsidRDefault="00DD34C6">
      <w:pPr>
        <w:pStyle w:val="ICESTNormal"/>
        <w:keepNext/>
        <w:spacing w:after="20" w:line="192" w:lineRule="auto"/>
        <w:ind w:firstLine="0"/>
        <w:jc w:val="right"/>
      </w:pPr>
      <w:r>
        <w:rPr>
          <w:color w:val="000000"/>
          <w:sz w:val="16"/>
        </w:rPr>
        <w:t>(12)</w:t>
      </w:r>
    </w:p>
    <w:p w14:paraId="00FE8CB4" w14:textId="77777777" w:rsidR="00E921BC" w:rsidRDefault="00DD34C6">
      <w:pPr>
        <w:pStyle w:val="ICESTNormal"/>
        <w:spacing w:after="40"/>
        <w:ind w:firstLine="0"/>
      </w:pPr>
      <w:r>
        <w:rPr>
          <w:i/>
          <w:color w:val="000000"/>
          <w:sz w:val="18"/>
        </w:rPr>
        <w:t xml:space="preserve">The exact-fit recurrence retains the highest evidence value </w:t>
      </w:r>
      <w:r>
        <w:rPr>
          <w:rFonts w:ascii="Cambria Math" w:eastAsia="Cambria Math" w:hAnsi="Cambria Math"/>
          <w:i/>
          <w:color w:val="000000"/>
          <w:sz w:val="18"/>
        </w:rPr>
        <w:t>q</w:t>
      </w:r>
      <w:r>
        <w:rPr>
          <w:rFonts w:ascii="Cambria Math" w:eastAsia="Cambria Math" w:hAnsi="Cambria Math"/>
          <w:i/>
          <w:color w:val="000000"/>
          <w:sz w:val="18"/>
          <w:vertAlign w:val="subscript"/>
        </w:rPr>
        <w:t>i</w:t>
      </w:r>
      <w:r>
        <w:rPr>
          <w:i/>
          <w:color w:val="000000"/>
          <w:sz w:val="18"/>
        </w:rPr>
        <w:t xml:space="preserve"> for every reachable professional-credit remainder k.</w:t>
      </w:r>
    </w:p>
    <w:p w14:paraId="406896F4" w14:textId="4E7A5277" w:rsidR="00E921BC" w:rsidRDefault="00DD34C6">
      <w:pPr>
        <w:pStyle w:val="ICESTNormal"/>
        <w:keepNext/>
        <w:spacing w:before="60"/>
        <w:ind w:firstLine="0"/>
        <w:jc w:val="center"/>
      </w:pPr>
      <m:oMathPara>
        <m:oMath>
          <m:r>
            <w:rPr>
              <w:rFonts w:ascii="Cambria Math" w:eastAsia="Cambria Math" w:hAnsi="Cambria Math"/>
              <w:color w:val="000000"/>
              <w:sz w:val="18"/>
            </w:rPr>
            <m:t>B</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sSubSup>
                <m:sSubSupPr>
                  <m:ctrlPr>
                    <w:rPr>
                      <w:rFonts w:ascii="Cambria Math" w:eastAsia="Cambria Math" w:hAnsi="Cambria Math"/>
                      <w:i/>
                      <w:color w:val="000000"/>
                      <w:sz w:val="18"/>
                    </w:rPr>
                  </m:ctrlPr>
                </m:sSubSupPr>
                <m:e>
                  <m:r>
                    <w:rPr>
                      <w:rFonts w:ascii="Cambria Math" w:eastAsia="Cambria Math" w:hAnsi="Cambria Math"/>
                      <w:color w:val="000000"/>
                      <w:sz w:val="18"/>
                    </w:rPr>
                    <m:t>I</m:t>
                  </m:r>
                </m:e>
                <m:sub>
                  <m:r>
                    <w:rPr>
                      <w:rFonts w:ascii="Cambria Math" w:eastAsia="Cambria Math" w:hAnsi="Cambria Math"/>
                      <w:color w:val="000000"/>
                      <w:sz w:val="18"/>
                    </w:rPr>
                    <m:t>i</m:t>
                  </m:r>
                </m:sub>
                <m:sup>
                  <m:r>
                    <w:rPr>
                      <w:rFonts w:ascii="Cambria Math" w:eastAsia="Cambria Math" w:hAnsi="Cambria Math"/>
                      <w:color w:val="000000"/>
                      <w:sz w:val="18"/>
                    </w:rPr>
                    <m:t>bridge</m:t>
                  </m:r>
                </m:sup>
              </m:sSubSup>
            </m:e>
          </m:nary>
        </m:oMath>
      </m:oMathPara>
    </w:p>
    <w:p w14:paraId="0773E603" w14:textId="77777777" w:rsidR="00E921BC" w:rsidRDefault="00DD34C6">
      <w:pPr>
        <w:pStyle w:val="ICESTNormal"/>
        <w:keepNext/>
        <w:spacing w:after="20" w:line="192" w:lineRule="auto"/>
        <w:ind w:firstLine="0"/>
        <w:jc w:val="right"/>
      </w:pPr>
      <w:r>
        <w:rPr>
          <w:color w:val="000000"/>
          <w:sz w:val="16"/>
        </w:rPr>
        <w:t>(13)</w:t>
      </w:r>
    </w:p>
    <w:p w14:paraId="044BB817" w14:textId="77777777" w:rsidR="00E921BC" w:rsidRDefault="00DD34C6">
      <w:pPr>
        <w:pStyle w:val="ICESTNormal"/>
        <w:spacing w:after="40"/>
        <w:ind w:firstLine="0"/>
      </w:pPr>
      <w:r>
        <w:rPr>
          <w:i/>
          <w:color w:val="000000"/>
          <w:sz w:val="18"/>
        </w:rPr>
        <w:t>B(P) counts visible synthetic bridge units; the planner minimises this quantity after attempting exact-</w:t>
      </w:r>
      <w:r>
        <w:rPr>
          <w:i/>
          <w:color w:val="000000"/>
          <w:sz w:val="18"/>
        </w:rPr>
        <w:t>credit combinations of real EPVO courses.</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65B0D095" w14:textId="77777777">
        <w:trPr>
          <w:jc w:val="center"/>
        </w:trPr>
        <w:tc>
          <w:tcPr>
            <w:tcW w:w="9747" w:type="dxa"/>
            <w:shd w:val="clear" w:color="auto" w:fill="F2F2F2"/>
            <w:tcMar>
              <w:top w:w="180" w:type="dxa"/>
              <w:left w:w="160" w:type="dxa"/>
              <w:bottom w:w="180" w:type="dxa"/>
              <w:right w:w="160" w:type="dxa"/>
            </w:tcMar>
          </w:tcPr>
          <w:p w14:paraId="67E20A44" w14:textId="77777777" w:rsidR="00E921BC" w:rsidRDefault="00DD34C6">
            <w:pPr>
              <w:jc w:val="center"/>
            </w:pPr>
            <w:r>
              <w:rPr>
                <w:rFonts w:ascii="Times New Roman" w:eastAsia="Times New Roman" w:hAnsi="Times New Roman"/>
                <w:b/>
                <w:color w:val="000000"/>
                <w:sz w:val="20"/>
              </w:rPr>
              <w:t>Figure 4 placeholder</w:t>
            </w:r>
          </w:p>
        </w:tc>
      </w:tr>
    </w:tbl>
    <w:p w14:paraId="4B3EC3F6" w14:textId="77777777" w:rsidR="00E921BC" w:rsidRDefault="00DD34C6">
      <w:pPr>
        <w:pStyle w:val="ICESTNormal"/>
        <w:ind w:firstLine="0"/>
        <w:jc w:val="center"/>
      </w:pPr>
      <w:r>
        <w:rPr>
          <w:i/>
          <w:color w:val="000000"/>
        </w:rPr>
        <w:t>Figure 4. Algorithm 3: exact-credit, real-course-first repair and bridge control.</w:t>
      </w:r>
    </w:p>
    <w:p w14:paraId="41F09A6B" w14:textId="77777777" w:rsidR="00E921BC" w:rsidRDefault="00DD34C6">
      <w:pPr>
        <w:pStyle w:val="ICESTNormal"/>
        <w:ind w:firstLine="0"/>
      </w:pPr>
      <w:r>
        <w:rPr>
          <w:b/>
          <w:color w:val="000000"/>
          <w:sz w:val="16"/>
        </w:rPr>
        <w:t xml:space="preserve">Draft image-generation prompt (remove before submission): </w:t>
      </w:r>
      <w:r>
        <w:rPr>
          <w:i/>
          <w:color w:val="000000"/>
          <w:sz w:val="16"/>
        </w:rPr>
        <w:t>Create a publication-grade decision flow for Algorithm 3. Start with total programme credits and programme mode. If Kazakhstan requirements are enabled, insert the protected level-specific block for</w:t>
      </w:r>
      <w:r>
        <w:rPr>
          <w:i/>
          <w:color w:val="000000"/>
          <w:sz w:val="16"/>
        </w:rPr>
        <w:t xml:space="preserve"> bachelor's, master's, or doctorate and subtract its credits. Feed the remaining professional-credit target into a dynamic-programming matrix whose columns are reachable credit sums and rows are admissible real EPVO courses with immutable credits and evide</w:t>
      </w:r>
      <w:r>
        <w:rPr>
          <w:i/>
          <w:color w:val="000000"/>
          <w:sz w:val="16"/>
        </w:rPr>
        <w:t>nce utility. Highlight the highest-evidence exact combination. Then perform prerequisite closure and bounded whole-course swaps. Only if no exact real-course solution exists, open a clearly marked bridge branch: create an interdisciplinary bridge for an un</w:t>
      </w:r>
      <w:r>
        <w:rPr>
          <w:i/>
          <w:color w:val="000000"/>
          <w:sz w:val="16"/>
        </w:rPr>
        <w:t xml:space="preserve">covered LO, show three real replacement candidates, require expert confirmation, and never call a generic elective placeholder a course. End with exact total credits, minimum bridge count, and verifier pass/fail. Use a compact formula inset for </w:t>
      </w:r>
      <w:r>
        <w:rPr>
          <w:rFonts w:ascii="Cambria Math" w:eastAsia="Cambria Math" w:hAnsi="Cambria Math"/>
          <w:i/>
          <w:color w:val="000000"/>
          <w:sz w:val="16"/>
        </w:rPr>
        <w:t>D</w:t>
      </w:r>
      <w:r>
        <w:rPr>
          <w:rFonts w:ascii="Cambria Math" w:eastAsia="Cambria Math" w:hAnsi="Cambria Math"/>
          <w:i/>
          <w:color w:val="000000"/>
          <w:sz w:val="16"/>
          <w:vertAlign w:val="subscript"/>
        </w:rPr>
        <w:t>i</w:t>
      </w:r>
      <w:r>
        <w:rPr>
          <w:i/>
          <w:color w:val="000000"/>
          <w:sz w:val="16"/>
        </w:rPr>
        <w:t xml:space="preserve">(k), but </w:t>
      </w:r>
      <w:r>
        <w:rPr>
          <w:i/>
          <w:color w:val="000000"/>
          <w:sz w:val="16"/>
        </w:rPr>
        <w:t>keep it readable. White background, navy for real courses, amber for repair, purple for bridge, green for verified result, red for failure; English labels; editable SVG and 300-dpi PNG.</w:t>
      </w:r>
    </w:p>
    <w:p w14:paraId="4660E3D8" w14:textId="77777777" w:rsidR="00E921BC" w:rsidRDefault="00DD34C6">
      <w:pPr>
        <w:keepNext/>
        <w:spacing w:before="120" w:after="40"/>
      </w:pPr>
      <w:r>
        <w:rPr>
          <w:rFonts w:ascii="Times New Roman" w:eastAsia="Times New Roman" w:hAnsi="Times New Roman"/>
          <w:b/>
          <w:color w:val="000000"/>
        </w:rPr>
        <w:t>4.3. Knowledge Graph, Semester Repair, and A/B/C Transactions</w:t>
      </w:r>
    </w:p>
    <w:p w14:paraId="0E11C1AB" w14:textId="77777777" w:rsidR="00E921BC" w:rsidRDefault="00DD34C6">
      <w:pPr>
        <w:pStyle w:val="ICESTNormal"/>
        <w:ind w:firstLine="283"/>
      </w:pPr>
      <w:r>
        <w:rPr>
          <w:color w:val="000000"/>
          <w:sz w:val="22"/>
        </w:rPr>
        <w:t>The curriculum graph contains course nodes, learning-outcome nodes, prerequisite edges, postrequisite relations, domain membership, and semester assignments. Explicit repository prerequisites are combined with conservative inferred edges based on foundatio</w:t>
      </w:r>
      <w:r>
        <w:rPr>
          <w:color w:val="000000"/>
          <w:sz w:val="22"/>
        </w:rPr>
        <w:t xml:space="preserve">n and advanced terminology. The graph is required to be acyclic after repair. For every edge </w:t>
      </w:r>
      <w:r>
        <w:rPr>
          <w:rFonts w:ascii="Cambria Math" w:eastAsia="Cambria Math" w:hAnsi="Cambria Math"/>
          <w:i/>
          <w:color w:val="000000"/>
          <w:sz w:val="22"/>
        </w:rPr>
        <w:t>c</w:t>
      </w:r>
      <w:r>
        <w:rPr>
          <w:rFonts w:ascii="Cambria Math" w:eastAsia="Cambria Math" w:hAnsi="Cambria Math"/>
          <w:i/>
          <w:color w:val="000000"/>
          <w:sz w:val="22"/>
          <w:vertAlign w:val="subscript"/>
        </w:rPr>
        <w:t>a</w:t>
      </w:r>
      <w:r>
        <w:rPr>
          <w:color w:val="000000"/>
          <w:sz w:val="22"/>
        </w:rPr>
        <w:t xml:space="preserve"> -&gt; </w:t>
      </w:r>
      <w:r>
        <w:rPr>
          <w:rFonts w:ascii="Cambria Math" w:eastAsia="Cambria Math" w:hAnsi="Cambria Math"/>
          <w:i/>
          <w:color w:val="000000"/>
          <w:sz w:val="22"/>
        </w:rPr>
        <w:t>c</w:t>
      </w:r>
      <w:r>
        <w:rPr>
          <w:rFonts w:ascii="Cambria Math" w:eastAsia="Cambria Math" w:hAnsi="Cambria Math"/>
          <w:i/>
          <w:color w:val="000000"/>
          <w:sz w:val="22"/>
          <w:vertAlign w:val="subscript"/>
        </w:rPr>
        <w:t>b</w:t>
      </w:r>
      <w:r>
        <w:rPr>
          <w:color w:val="000000"/>
          <w:sz w:val="22"/>
        </w:rPr>
        <w:t>, the verifier requires semester(</w:t>
      </w:r>
      <w:r>
        <w:rPr>
          <w:rFonts w:ascii="Cambria Math" w:eastAsia="Cambria Math" w:hAnsi="Cambria Math"/>
          <w:i/>
          <w:color w:val="000000"/>
          <w:sz w:val="22"/>
        </w:rPr>
        <w:t>c</w:t>
      </w:r>
      <w:r>
        <w:rPr>
          <w:rFonts w:ascii="Cambria Math" w:eastAsia="Cambria Math" w:hAnsi="Cambria Math"/>
          <w:i/>
          <w:color w:val="000000"/>
          <w:sz w:val="22"/>
          <w:vertAlign w:val="subscript"/>
        </w:rPr>
        <w:t>a</w:t>
      </w:r>
      <w:r>
        <w:rPr>
          <w:color w:val="000000"/>
          <w:sz w:val="22"/>
        </w:rPr>
        <w:t>) &lt; semester(</w:t>
      </w:r>
      <w:r>
        <w:rPr>
          <w:rFonts w:ascii="Cambria Math" w:eastAsia="Cambria Math" w:hAnsi="Cambria Math"/>
          <w:i/>
          <w:color w:val="000000"/>
          <w:sz w:val="22"/>
        </w:rPr>
        <w:t>c</w:t>
      </w:r>
      <w:r>
        <w:rPr>
          <w:rFonts w:ascii="Cambria Math" w:eastAsia="Cambria Math" w:hAnsi="Cambria Math"/>
          <w:i/>
          <w:color w:val="000000"/>
          <w:sz w:val="22"/>
          <w:vertAlign w:val="subscript"/>
        </w:rPr>
        <w:t>b</w:t>
      </w:r>
      <w:r>
        <w:rPr>
          <w:color w:val="000000"/>
          <w:sz w:val="22"/>
        </w:rPr>
        <w:t>), except for separately classified concurrent regulatory activities.</w:t>
      </w:r>
    </w:p>
    <w:p w14:paraId="5A3F7BAF" w14:textId="77777777" w:rsidR="00E921BC" w:rsidRDefault="00DD34C6">
      <w:pPr>
        <w:pStyle w:val="ICESTNormal"/>
        <w:ind w:firstLine="283"/>
      </w:pPr>
      <w:r>
        <w:rPr>
          <w:color w:val="000000"/>
          <w:sz w:val="22"/>
        </w:rPr>
        <w:t>Semester repair uses bounded whole-</w:t>
      </w:r>
      <w:r>
        <w:rPr>
          <w:color w:val="000000"/>
          <w:sz w:val="22"/>
        </w:rPr>
        <w:t>course moves and swaps. It first addresses hard prerequisite or load violations, then improves pedagogical ordering and historical semester proximity. Moving a late advanced clinical, cybersecurity, research, or systems course into the first foundation ter</w:t>
      </w:r>
      <w:r>
        <w:rPr>
          <w:color w:val="000000"/>
          <w:sz w:val="22"/>
        </w:rPr>
        <w:t>m is prohibited by semantic floors. Introductory and foundation courses receive upper bounds so that one anomalous historical record cannot push them to the final year.</w:t>
      </w:r>
    </w:p>
    <w:p w14:paraId="5078DC1D" w14:textId="77777777" w:rsidR="00E921BC" w:rsidRDefault="00DD34C6">
      <w:pPr>
        <w:pStyle w:val="ICESTNormal"/>
        <w:ind w:firstLine="283"/>
      </w:pPr>
      <w:r>
        <w:rPr>
          <w:color w:val="000000"/>
          <w:sz w:val="22"/>
        </w:rPr>
        <w:t xml:space="preserve">Alternative generation varies ranking weights and candidate choices while preserving a </w:t>
      </w:r>
      <w:r>
        <w:rPr>
          <w:color w:val="000000"/>
          <w:sz w:val="22"/>
        </w:rPr>
        <w:t>common regulatory core. Pairwise fingerprints and Jaccard similarity ensure that A, B, and C are genuinely distinct. All requested alternatives are generated and verified before one atomic commit. This protects old active plans and makes a generation failu</w:t>
      </w:r>
      <w:r>
        <w:rPr>
          <w:color w:val="000000"/>
          <w:sz w:val="22"/>
        </w:rPr>
        <w:t>re recoverable. Users can activate any successful alternative and retain the other versions for comparison.</w:t>
      </w:r>
    </w:p>
    <w:p w14:paraId="47A121D2" w14:textId="30D01F4D" w:rsidR="00E921BC" w:rsidRDefault="00DD34C6">
      <w:pPr>
        <w:pStyle w:val="ICESTNormal"/>
        <w:keepNext/>
        <w:spacing w:before="60"/>
        <w:ind w:firstLine="0"/>
        <w:jc w:val="center"/>
      </w:pPr>
      <m:oMathPara>
        <m:oMath>
          <m:r>
            <w:rPr>
              <w:rFonts w:ascii="Cambria Math" w:eastAsia="Cambria Math" w:hAnsi="Cambria Math"/>
              <w:color w:val="000000"/>
              <w:sz w:val="18"/>
            </w:rPr>
            <m:t>G=</m:t>
          </m:r>
          <m:d>
            <m:dPr>
              <m:ctrlPr>
                <w:rPr>
                  <w:rFonts w:ascii="Cambria Math" w:eastAsia="Cambria Math" w:hAnsi="Cambria Math"/>
                  <w:i/>
                  <w:color w:val="000000"/>
                  <w:sz w:val="18"/>
                </w:rPr>
              </m:ctrlPr>
            </m:dPr>
            <m:e>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C</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V</m:t>
                  </m:r>
                </m:e>
                <m:sub>
                  <m:r>
                    <w:rPr>
                      <w:rFonts w:ascii="Cambria Math" w:eastAsia="Cambria Math" w:hAnsi="Cambria Math"/>
                      <w:color w:val="000000"/>
                      <w:sz w:val="18"/>
                    </w:rPr>
                    <m:t>O</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pre</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LO</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E</m:t>
                  </m:r>
                </m:e>
                <m:sub>
                  <m:r>
                    <w:rPr>
                      <w:rFonts w:ascii="Cambria Math" w:eastAsia="Cambria Math" w:hAnsi="Cambria Math"/>
                      <w:color w:val="000000"/>
                      <w:sz w:val="18"/>
                    </w:rPr>
                    <m:t>sim</m:t>
                  </m:r>
                </m:sub>
              </m:sSub>
            </m:e>
          </m:d>
        </m:oMath>
      </m:oMathPara>
    </w:p>
    <w:p w14:paraId="0B9B549A" w14:textId="77777777" w:rsidR="00E921BC" w:rsidRDefault="00DD34C6">
      <w:pPr>
        <w:pStyle w:val="ICESTNormal"/>
        <w:keepNext/>
        <w:spacing w:after="20" w:line="192" w:lineRule="auto"/>
        <w:ind w:firstLine="0"/>
        <w:jc w:val="right"/>
      </w:pPr>
      <w:r>
        <w:rPr>
          <w:color w:val="000000"/>
          <w:sz w:val="16"/>
        </w:rPr>
        <w:t>(14)</w:t>
      </w:r>
    </w:p>
    <w:p w14:paraId="61094D38" w14:textId="77777777" w:rsidR="00E921BC" w:rsidRDefault="00DD34C6">
      <w:pPr>
        <w:pStyle w:val="ICESTNormal"/>
        <w:spacing w:after="40"/>
        <w:ind w:firstLine="0"/>
      </w:pPr>
      <w:r>
        <w:rPr>
          <w:i/>
          <w:color w:val="000000"/>
          <w:sz w:val="18"/>
        </w:rPr>
        <w:t>The knowledge graph joins course and outcome nodes with prerequisite, coverage, and semantic-similarity ed</w:t>
      </w:r>
      <w:r>
        <w:rPr>
          <w:i/>
          <w:color w:val="000000"/>
          <w:sz w:val="18"/>
        </w:rPr>
        <w:t>ges.</w:t>
      </w:r>
    </w:p>
    <w:p w14:paraId="3CE43CCE" w14:textId="051491BF" w:rsidR="00E921BC" w:rsidRDefault="00DD34C6">
      <w:pPr>
        <w:pStyle w:val="ICESTNormal"/>
        <w:keepNext/>
        <w:spacing w:before="60"/>
        <w:ind w:firstLine="0"/>
        <w:jc w:val="center"/>
      </w:pPr>
      <m:oMathPara>
        <m:oMath>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s</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is</m:t>
                  </m:r>
                </m:sub>
              </m:sSub>
            </m:e>
          </m:nary>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oMath>
      </m:oMathPara>
    </w:p>
    <w:p w14:paraId="1AFD6E0D" w14:textId="77777777" w:rsidR="00E921BC" w:rsidRDefault="00DD34C6">
      <w:pPr>
        <w:pStyle w:val="ICESTNormal"/>
        <w:keepNext/>
        <w:spacing w:after="20" w:line="192" w:lineRule="auto"/>
        <w:ind w:firstLine="0"/>
        <w:jc w:val="right"/>
      </w:pPr>
      <w:r>
        <w:rPr>
          <w:color w:val="000000"/>
          <w:sz w:val="16"/>
        </w:rPr>
        <w:t>(15)</w:t>
      </w:r>
    </w:p>
    <w:p w14:paraId="07739994" w14:textId="77777777" w:rsidR="00E921BC" w:rsidRDefault="00DD34C6">
      <w:pPr>
        <w:pStyle w:val="ICESTNormal"/>
        <w:spacing w:after="40"/>
        <w:ind w:firstLine="0"/>
      </w:pPr>
      <w:r>
        <w:rPr>
          <w:i/>
          <w:color w:val="000000"/>
          <w:sz w:val="18"/>
        </w:rPr>
        <w:t>Every selected course is assigned to exactly one semester; an unselected course is assigned to none.</w:t>
      </w:r>
    </w:p>
    <w:p w14:paraId="78D786B9" w14:textId="6E7C412B"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L</m:t>
              </m:r>
            </m:e>
            <m:sub>
              <m:r>
                <w:rPr>
                  <w:rFonts w:ascii="Cambria Math" w:eastAsia="Cambria Math" w:hAnsi="Cambria Math"/>
                  <w:color w:val="000000"/>
                  <w:sz w:val="18"/>
                </w:rPr>
                <m:t>s</m:t>
              </m:r>
            </m:sub>
          </m:sSub>
          <m:r>
            <w:rPr>
              <w:rFonts w:ascii="Cambria Math" w:eastAsia="Cambria Math" w:hAnsi="Cambria Math"/>
              <w:color w:val="000000"/>
              <w:sz w:val="18"/>
            </w:rPr>
            <m:t>≤</m:t>
          </m:r>
          <m:nary>
            <m:naryPr>
              <m:chr m:val="∑"/>
              <m:supHide m:val="1"/>
              <m:ctrlPr>
                <w:rPr>
                  <w:rFonts w:ascii="Cambria Math" w:eastAsia="Cambria Math" w:hAnsi="Cambria Math"/>
                  <w:i/>
                  <w:color w:val="000000"/>
                  <w:sz w:val="18"/>
                </w:rPr>
              </m:ctrlPr>
            </m:naryPr>
            <m:sub>
              <m:r>
                <w:rPr>
                  <w:rFonts w:ascii="Cambria Math" w:eastAsia="Cambria Math" w:hAnsi="Cambria Math"/>
                  <w:color w:val="000000"/>
                  <w:sz w:val="18"/>
                </w:rPr>
                <m:t>i</m:t>
              </m:r>
            </m:sub>
            <m:sup/>
            <m:e>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i</m:t>
                  </m:r>
                </m:sub>
              </m:sSub>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is</m:t>
                  </m:r>
                </m:sub>
              </m:sSub>
            </m:e>
          </m:nary>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U</m:t>
              </m:r>
            </m:e>
            <m:sub>
              <m:r>
                <w:rPr>
                  <w:rFonts w:ascii="Cambria Math" w:eastAsia="Cambria Math" w:hAnsi="Cambria Math"/>
                  <w:color w:val="000000"/>
                  <w:sz w:val="18"/>
                </w:rPr>
                <m:t>s</m:t>
              </m:r>
            </m:sub>
          </m:sSub>
        </m:oMath>
      </m:oMathPara>
    </w:p>
    <w:p w14:paraId="7F585DBD" w14:textId="77777777" w:rsidR="00E921BC" w:rsidRDefault="00DD34C6">
      <w:pPr>
        <w:pStyle w:val="ICESTNormal"/>
        <w:keepNext/>
        <w:spacing w:after="20" w:line="192" w:lineRule="auto"/>
        <w:ind w:firstLine="0"/>
        <w:jc w:val="right"/>
      </w:pPr>
      <w:r>
        <w:rPr>
          <w:color w:val="000000"/>
          <w:sz w:val="16"/>
        </w:rPr>
        <w:t>(16)</w:t>
      </w:r>
    </w:p>
    <w:p w14:paraId="7C1129A5" w14:textId="77777777" w:rsidR="00E921BC" w:rsidRDefault="00DD34C6">
      <w:pPr>
        <w:pStyle w:val="ICESTNormal"/>
        <w:spacing w:after="40"/>
        <w:ind w:firstLine="0"/>
      </w:pPr>
      <w:r>
        <w:rPr>
          <w:i/>
          <w:color w:val="000000"/>
          <w:sz w:val="18"/>
        </w:rPr>
        <w:t>The total load in semester s must remain between its lower and upper limits.</w:t>
      </w:r>
    </w:p>
    <w:p w14:paraId="3977A73D" w14:textId="6D981091"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d>
                <m:dPr>
                  <m:ctrlPr>
                    <w:rPr>
                      <w:rFonts w:ascii="Cambria Math" w:eastAsia="Cambria Math" w:hAnsi="Cambria Math"/>
                      <w:i/>
                      <w:color w:val="000000"/>
                      <w:sz w:val="18"/>
                    </w:rPr>
                  </m:ctrlPr>
                </m:dPr>
                <m:e>
                  <m:r>
                    <w:rPr>
                      <w:rFonts w:ascii="Cambria Math" w:eastAsia="Cambria Math" w:hAnsi="Cambria Math"/>
                      <w:color w:val="000000"/>
                      <w:sz w:val="18"/>
                    </w:rPr>
                    <m:t>ia</m:t>
                  </m:r>
                </m:e>
              </m:d>
              <m:sSub>
                <m:sSubPr>
                  <m:ctrlPr>
                    <w:rPr>
                      <w:rFonts w:ascii="Cambria Math" w:eastAsia="Cambria Math" w:hAnsi="Cambria Math"/>
                      <w:i/>
                      <w:color w:val="000000"/>
                      <w:sz w:val="18"/>
                    </w:rPr>
                  </m:ctrlPr>
                </m:sSubPr>
                <m:e>
                  <m:r>
                    <w:rPr>
                      <w:rFonts w:ascii="Cambria Math" w:eastAsia="Cambria Math" w:hAnsi="Cambria Math"/>
                      <w:color w:val="000000"/>
                      <w:sz w:val="18"/>
                    </w:rPr>
                    <m:t>z</m:t>
                  </m:r>
                </m:e>
                <m:sub>
                  <m:r>
                    <w:rPr>
                      <w:rFonts w:ascii="Cambria Math" w:eastAsia="Cambria Math" w:hAnsi="Cambria Math"/>
                      <w:color w:val="000000"/>
                      <w:sz w:val="18"/>
                    </w:rPr>
                    <m:t>jb</m:t>
                  </m:r>
                </m:sub>
              </m:sSub>
            </m:sub>
          </m:sSub>
          <m:r>
            <w:rPr>
              <w:rFonts w:ascii="Cambria Math" w:eastAsia="Cambria Math" w:hAnsi="Cambria Math"/>
              <w:color w:val="000000"/>
              <w:sz w:val="18"/>
            </w:rPr>
            <m:t>=1⇒a&lt;b</m:t>
          </m:r>
        </m:oMath>
      </m:oMathPara>
    </w:p>
    <w:p w14:paraId="3E579239" w14:textId="77777777" w:rsidR="00E921BC" w:rsidRDefault="00DD34C6">
      <w:pPr>
        <w:pStyle w:val="ICESTNormal"/>
        <w:keepNext/>
        <w:spacing w:after="20" w:line="192" w:lineRule="auto"/>
        <w:ind w:firstLine="0"/>
        <w:jc w:val="right"/>
      </w:pPr>
      <w:r>
        <w:rPr>
          <w:color w:val="000000"/>
          <w:sz w:val="16"/>
        </w:rPr>
        <w:t>(17)</w:t>
      </w:r>
    </w:p>
    <w:p w14:paraId="40915DFD" w14:textId="77777777" w:rsidR="00E921BC" w:rsidRDefault="00DD34C6">
      <w:pPr>
        <w:pStyle w:val="ICESTNormal"/>
        <w:spacing w:after="40"/>
        <w:ind w:firstLine="0"/>
      </w:pPr>
      <w:r>
        <w:rPr>
          <w:i/>
          <w:color w:val="000000"/>
          <w:sz w:val="18"/>
        </w:rPr>
        <w:t>Every prerequisite course i must precede its dependent course j; concurrent placement is not accepted for ordinary course edges.</w:t>
      </w:r>
    </w:p>
    <w:p w14:paraId="23CF7F1D" w14:textId="76702531" w:rsidR="00E921BC" w:rsidRDefault="00DD34C6">
      <w:pPr>
        <w:pStyle w:val="ICESTNormal"/>
        <w:keepNext/>
        <w:spacing w:before="60"/>
        <w:ind w:firstLine="0"/>
        <w:jc w:val="center"/>
      </w:pPr>
      <m:oMathPara>
        <m:oMath>
          <m:r>
            <w:rPr>
              <w:rFonts w:ascii="Cambria Math" w:eastAsia="Cambria Math" w:hAnsi="Cambria Math"/>
              <w:color w:val="000000"/>
              <w:sz w:val="18"/>
            </w:rPr>
            <m:t>s_i^*=</m:t>
          </m:r>
          <m:r>
            <m:rPr>
              <m:sty m:val="p"/>
            </m:rPr>
            <w:rPr>
              <w:rFonts w:ascii="Cambria Math" w:eastAsia="Cambria Math" w:hAnsi="Cambria Math"/>
              <w:color w:val="000000"/>
              <w:sz w:val="18"/>
            </w:rPr>
            <m:t>arg</m:t>
          </m:r>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min</m:t>
                  </m:r>
                  <m:ctrlPr>
                    <w:rPr>
                      <w:rFonts w:ascii="Cambria Math" w:eastAsia="Cambria Math" w:hAnsi="Cambria Math"/>
                      <w:color w:val="000000"/>
                      <w:sz w:val="18"/>
                    </w:rPr>
                  </m:ctrlPr>
                </m:e>
                <m:lim>
                  <m:r>
                    <w:rPr>
                      <w:rFonts w:ascii="Cambria Math" w:eastAsia="Cambria Math" w:hAnsi="Cambria Math"/>
                      <w:color w:val="000000"/>
                      <w:sz w:val="18"/>
                    </w:rPr>
                    <m:t>s∈</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i</m:t>
                      </m:r>
                    </m:sub>
                  </m:sSub>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s-</m:t>
                      </m:r>
                      <m:sSub>
                        <m:sSubPr>
                          <m:ctrlPr>
                            <w:rPr>
                              <w:rFonts w:ascii="Cambria Math" w:eastAsia="Cambria Math" w:hAnsi="Cambria Math"/>
                              <w:i/>
                              <w:color w:val="000000"/>
                              <w:sz w:val="18"/>
                            </w:rPr>
                          </m:ctrlPr>
                        </m:sSubPr>
                        <m:e>
                          <m:r>
                            <w:rPr>
                              <w:rFonts w:ascii="Cambria Math" w:eastAsia="Cambria Math" w:hAnsi="Cambria Math"/>
                              <w:color w:val="000000"/>
                              <w:sz w:val="18"/>
                            </w:rPr>
                            <m:t>t</m:t>
                          </m:r>
                        </m:e>
                        <m:sub>
                          <m:r>
                            <w:rPr>
                              <w:rFonts w:ascii="Cambria Math" w:eastAsia="Cambria Math" w:hAnsi="Cambria Math"/>
                              <w:color w:val="000000"/>
                              <w:sz w:val="18"/>
                            </w:rPr>
                            <m:t>i</m:t>
                          </m:r>
                        </m:sub>
                      </m:sSub>
                    </m:e>
                  </m:d>
                  <m:ctrlPr>
                    <w:rPr>
                      <w:rFonts w:ascii="Cambria Math" w:eastAsia="Cambria Math" w:hAnsi="Cambria Math"/>
                      <w:color w:val="000000"/>
                      <w:sz w:val="18"/>
                    </w:rPr>
                  </m:ctrlPr>
                </m:lim>
              </m:limLow>
              <m:ctrlPr>
                <w:rPr>
                  <w:rFonts w:ascii="Cambria Math" w:eastAsia="Cambria Math" w:hAnsi="Cambria Math"/>
                  <w:color w:val="000000"/>
                  <w:sz w:val="18"/>
                </w:rPr>
              </m:ctrlPr>
            </m:fName>
            <m:e/>
          </m:func>
          <m:r>
            <w:rPr>
              <w:rFonts w:ascii="Cambria Math" w:eastAsia="Cambria Math" w:hAnsi="Cambria Math"/>
              <w:color w:val="000000"/>
              <w:sz w:val="18"/>
            </w:rPr>
            <m:t>|</m:t>
          </m:r>
        </m:oMath>
      </m:oMathPara>
    </w:p>
    <w:p w14:paraId="6A4C4AF5" w14:textId="77777777" w:rsidR="00E921BC" w:rsidRDefault="00DD34C6">
      <w:pPr>
        <w:pStyle w:val="ICESTNormal"/>
        <w:keepNext/>
        <w:spacing w:after="20" w:line="192" w:lineRule="auto"/>
        <w:ind w:firstLine="0"/>
        <w:jc w:val="right"/>
      </w:pPr>
      <w:r>
        <w:rPr>
          <w:color w:val="000000"/>
          <w:sz w:val="16"/>
        </w:rPr>
        <w:t>(18)</w:t>
      </w:r>
    </w:p>
    <w:p w14:paraId="0BE48787" w14:textId="77777777" w:rsidR="00E921BC" w:rsidRDefault="00DD34C6">
      <w:pPr>
        <w:pStyle w:val="ICESTNormal"/>
        <w:spacing w:after="40"/>
        <w:ind w:firstLine="0"/>
      </w:pPr>
      <w:r>
        <w:rPr>
          <w:i/>
          <w:color w:val="000000"/>
          <w:sz w:val="18"/>
        </w:rPr>
        <w:t xml:space="preserve">The selected semester is the nearest feasible member </w:t>
      </w:r>
      <w:r>
        <w:rPr>
          <w:i/>
          <w:color w:val="000000"/>
          <w:sz w:val="18"/>
        </w:rPr>
        <w:t xml:space="preserve">of </w:t>
      </w:r>
      <w:r>
        <w:rPr>
          <w:rFonts w:ascii="Cambria Math" w:eastAsia="Cambria Math" w:hAnsi="Cambria Math"/>
          <w:i/>
          <w:color w:val="000000"/>
          <w:sz w:val="18"/>
        </w:rPr>
        <w:t>F</w:t>
      </w:r>
      <w:r>
        <w:rPr>
          <w:rFonts w:ascii="Cambria Math" w:eastAsia="Cambria Math" w:hAnsi="Cambria Math"/>
          <w:i/>
          <w:color w:val="000000"/>
          <w:sz w:val="18"/>
          <w:vertAlign w:val="subscript"/>
        </w:rPr>
        <w:t>i</w:t>
      </w:r>
      <w:r>
        <w:rPr>
          <w:i/>
          <w:color w:val="000000"/>
          <w:sz w:val="18"/>
        </w:rPr>
        <w:t xml:space="preserve"> to the EPVO typical semester </w:t>
      </w:r>
      <w:r>
        <w:rPr>
          <w:rFonts w:ascii="Cambria Math" w:eastAsia="Cambria Math" w:hAnsi="Cambria Math"/>
          <w:i/>
          <w:color w:val="000000"/>
          <w:sz w:val="18"/>
        </w:rPr>
        <w:t>t</w:t>
      </w:r>
      <w:r>
        <w:rPr>
          <w:rFonts w:ascii="Cambria Math" w:eastAsia="Cambria Math" w:hAnsi="Cambria Math"/>
          <w:i/>
          <w:color w:val="000000"/>
          <w:sz w:val="18"/>
          <w:vertAlign w:val="subscript"/>
        </w:rPr>
        <w:t>i</w:t>
      </w:r>
      <w:r>
        <w:rPr>
          <w:i/>
          <w:color w:val="000000"/>
          <w:sz w:val="18"/>
        </w:rPr>
        <w:t xml:space="preserve">; </w:t>
      </w:r>
      <w:r>
        <w:rPr>
          <w:rFonts w:ascii="Cambria Math" w:eastAsia="Cambria Math" w:hAnsi="Cambria Math"/>
          <w:i/>
          <w:color w:val="000000"/>
          <w:sz w:val="18"/>
        </w:rPr>
        <w:t>F</w:t>
      </w:r>
      <w:r>
        <w:rPr>
          <w:rFonts w:ascii="Cambria Math" w:eastAsia="Cambria Math" w:hAnsi="Cambria Math"/>
          <w:i/>
          <w:color w:val="000000"/>
          <w:sz w:val="18"/>
          <w:vertAlign w:val="subscript"/>
        </w:rPr>
        <w:t>i</w:t>
      </w:r>
      <w:r>
        <w:rPr>
          <w:i/>
          <w:color w:val="000000"/>
          <w:sz w:val="18"/>
        </w:rPr>
        <w:t xml:space="preserve"> already enforces load, prerequisite, and pedagogical bounds.</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200E5A4B" w14:textId="77777777">
        <w:trPr>
          <w:jc w:val="center"/>
        </w:trPr>
        <w:tc>
          <w:tcPr>
            <w:tcW w:w="9747" w:type="dxa"/>
            <w:shd w:val="clear" w:color="auto" w:fill="F2F2F2"/>
            <w:tcMar>
              <w:top w:w="180" w:type="dxa"/>
              <w:left w:w="160" w:type="dxa"/>
              <w:bottom w:w="180" w:type="dxa"/>
              <w:right w:w="160" w:type="dxa"/>
            </w:tcMar>
          </w:tcPr>
          <w:p w14:paraId="592FF672" w14:textId="77777777" w:rsidR="00E921BC" w:rsidRDefault="00DD34C6">
            <w:pPr>
              <w:jc w:val="center"/>
            </w:pPr>
            <w:r>
              <w:rPr>
                <w:rFonts w:ascii="Times New Roman" w:eastAsia="Times New Roman" w:hAnsi="Times New Roman"/>
                <w:b/>
                <w:color w:val="000000"/>
                <w:sz w:val="20"/>
              </w:rPr>
              <w:t>Figure 5 placeholder</w:t>
            </w:r>
          </w:p>
        </w:tc>
      </w:tr>
    </w:tbl>
    <w:p w14:paraId="61AAB1C8" w14:textId="77777777" w:rsidR="00E921BC" w:rsidRDefault="00DD34C6">
      <w:pPr>
        <w:pStyle w:val="ICESTNormal"/>
        <w:ind w:firstLine="0"/>
        <w:jc w:val="center"/>
      </w:pPr>
      <w:r>
        <w:rPr>
          <w:i/>
          <w:color w:val="000000"/>
        </w:rPr>
        <w:t>Figure 5. Algorithm 4: graph-aware semester scheduling and transactional A/B/C generation.</w:t>
      </w:r>
    </w:p>
    <w:p w14:paraId="6C732AE2" w14:textId="77777777" w:rsidR="00E921BC" w:rsidRDefault="00DD34C6">
      <w:pPr>
        <w:pStyle w:val="ICESTNormal"/>
        <w:ind w:firstLine="0"/>
      </w:pPr>
      <w:r>
        <w:rPr>
          <w:b/>
          <w:color w:val="000000"/>
          <w:sz w:val="16"/>
        </w:rPr>
        <w:t xml:space="preserve">Draft image-generation prompt (remove before submission): </w:t>
      </w:r>
      <w:r>
        <w:rPr>
          <w:i/>
          <w:color w:val="000000"/>
          <w:sz w:val="16"/>
        </w:rPr>
        <w:t xml:space="preserve">Create a detailed semester-planning diagram for Algorithm 4, landscape 16:9. Left: a directed acyclic graph with foundation, intermediate, advanced, practice, research, and final-attestation course </w:t>
      </w:r>
      <w:r>
        <w:rPr>
          <w:i/>
          <w:color w:val="000000"/>
          <w:sz w:val="16"/>
        </w:rPr>
        <w:t>nodes; prerequisite arrows always point forward. Centre: calculate earliest feasible semester from topological depth, typical EPVO semester, semantic floor/ceiling, and a 27-33 credit load band. Show bounded whole-course moves and swaps; forbid credit rewr</w:t>
      </w:r>
      <w:r>
        <w:rPr>
          <w:i/>
          <w:color w:val="000000"/>
          <w:sz w:val="16"/>
        </w:rPr>
        <w:t>iting and moving an advanced course into semester 1. Right: generate either one requested plan or variants A/B/C with different soft ranking weights but identical hard constraints. Below, an independent verifier recomputes exact credits, semester loads, le</w:t>
      </w:r>
      <w:r>
        <w:rPr>
          <w:i/>
          <w:color w:val="000000"/>
          <w:sz w:val="16"/>
        </w:rPr>
        <w:t>vel, domain quotas, LO evidence, duplicates, regulatory closure, and prerequisite order. Atomic commit occurs only if every requested variant passes and A/B/C fingerprints differ; otherwise the previous active plan remains. Use English labels, white backgr</w:t>
      </w:r>
      <w:r>
        <w:rPr>
          <w:i/>
          <w:color w:val="000000"/>
          <w:sz w:val="16"/>
        </w:rPr>
        <w:t>ound, navy/teal/amber/green/red, no decorative AI, editable SVG and 300-dpi PNG.</w:t>
      </w:r>
    </w:p>
    <w:p w14:paraId="19410927" w14:textId="77777777" w:rsidR="00E921BC" w:rsidRDefault="00DD34C6">
      <w:pPr>
        <w:keepNext/>
        <w:spacing w:before="120" w:after="40"/>
      </w:pPr>
      <w:r>
        <w:rPr>
          <w:rFonts w:ascii="Times New Roman" w:eastAsia="Times New Roman" w:hAnsi="Times New Roman"/>
          <w:b/>
          <w:color w:val="000000"/>
        </w:rPr>
        <w:t>4.4. Formal Objective and Independent Verifier</w:t>
      </w:r>
    </w:p>
    <w:p w14:paraId="6F08EA1E" w14:textId="77777777" w:rsidR="00E921BC" w:rsidRDefault="00DD34C6">
      <w:pPr>
        <w:pStyle w:val="ICESTNormal"/>
        <w:ind w:firstLine="283"/>
      </w:pPr>
      <w:r>
        <w:rPr>
          <w:color w:val="000000"/>
          <w:sz w:val="22"/>
        </w:rPr>
        <w:t xml:space="preserve">Let </w:t>
      </w:r>
      <w:r>
        <w:rPr>
          <w:rFonts w:ascii="Cambria Math" w:eastAsia="Cambria Math" w:hAnsi="Cambria Math"/>
          <w:i/>
          <w:color w:val="000000"/>
          <w:sz w:val="22"/>
        </w:rPr>
        <w:t>x</w:t>
      </w:r>
      <w:r>
        <w:rPr>
          <w:rFonts w:ascii="Cambria Math" w:eastAsia="Cambria Math" w:hAnsi="Cambria Math"/>
          <w:i/>
          <w:color w:val="000000"/>
          <w:sz w:val="22"/>
          <w:vertAlign w:val="subscript"/>
        </w:rPr>
        <w:t>i</w:t>
      </w:r>
      <w:r>
        <w:rPr>
          <w:color w:val="000000"/>
          <w:sz w:val="22"/>
        </w:rPr>
        <w:t xml:space="preserve"> indicate inclusion of course </w:t>
      </w:r>
      <w:r>
        <w:rPr>
          <w:rFonts w:ascii="Cambria Math" w:eastAsia="Cambria Math" w:hAnsi="Cambria Math"/>
          <w:i/>
          <w:color w:val="000000"/>
          <w:sz w:val="22"/>
        </w:rPr>
        <w:t>c</w:t>
      </w:r>
      <w:r>
        <w:rPr>
          <w:rFonts w:ascii="Cambria Math" w:eastAsia="Cambria Math" w:hAnsi="Cambria Math"/>
          <w:i/>
          <w:color w:val="000000"/>
          <w:sz w:val="22"/>
          <w:vertAlign w:val="subscript"/>
        </w:rPr>
        <w:t>i</w:t>
      </w:r>
      <w:r>
        <w:rPr>
          <w:color w:val="000000"/>
          <w:sz w:val="22"/>
        </w:rPr>
        <w:t xml:space="preserve"> and </w:t>
      </w:r>
      <w:r>
        <w:rPr>
          <w:rFonts w:ascii="Cambria Math" w:eastAsia="Cambria Math" w:hAnsi="Cambria Math"/>
          <w:i/>
          <w:color w:val="000000"/>
          <w:sz w:val="22"/>
        </w:rPr>
        <w:t>z</w:t>
      </w:r>
      <w:r>
        <w:rPr>
          <w:rFonts w:ascii="Cambria Math" w:eastAsia="Cambria Math" w:hAnsi="Cambria Math"/>
          <w:i/>
          <w:color w:val="000000"/>
          <w:sz w:val="22"/>
          <w:vertAlign w:val="subscript"/>
        </w:rPr>
        <w:t>is</w:t>
      </w:r>
      <w:r>
        <w:rPr>
          <w:color w:val="000000"/>
          <w:sz w:val="22"/>
        </w:rPr>
        <w:t xml:space="preserve"> its assignment to semester s. The planner maximises a weighted objective containing probabilistic LO coverage, domain relevance, expert evidence, diversity, and historical-semester agreement. Penalties represent duplicate content, credit deviation, quota </w:t>
      </w:r>
      <w:r>
        <w:rPr>
          <w:color w:val="000000"/>
          <w:sz w:val="22"/>
        </w:rPr>
        <w:t>deficits, bridge count, and prerequisite complexity. The weights define variants A, B, and C but do not relax hard constraints.</w:t>
      </w:r>
    </w:p>
    <w:p w14:paraId="440A6FA4" w14:textId="77777777" w:rsidR="00E921BC" w:rsidRDefault="00DD34C6">
      <w:pPr>
        <w:pStyle w:val="ICESTNormal"/>
        <w:ind w:firstLine="283"/>
      </w:pPr>
      <w:r>
        <w:rPr>
          <w:color w:val="000000"/>
          <w:sz w:val="22"/>
        </w:rPr>
        <w:t>The main constraints require each selected course to appear in exactly one semester, the total credits to equal the programme ta</w:t>
      </w:r>
      <w:r>
        <w:rPr>
          <w:color w:val="000000"/>
          <w:sz w:val="22"/>
        </w:rPr>
        <w:t>rget within the declared tolerance, each semester to remain within its load interval, and every prerequisite to precede its dependent course. Domain credits must meet project quotas, and each professional LO must have at least one admitted real course unle</w:t>
      </w:r>
      <w:r>
        <w:rPr>
          <w:color w:val="000000"/>
          <w:sz w:val="22"/>
        </w:rPr>
        <w:t>ss an explicitly reviewed bridge is retained. Education-level and SCES RK guards are Boolean admission constraints.</w:t>
      </w:r>
    </w:p>
    <w:p w14:paraId="5F69D266" w14:textId="77777777" w:rsidR="00E921BC" w:rsidRDefault="00DD34C6">
      <w:pPr>
        <w:pStyle w:val="ICESTNormal"/>
        <w:ind w:firstLine="283"/>
      </w:pPr>
      <w:r>
        <w:rPr>
          <w:color w:val="000000"/>
          <w:sz w:val="22"/>
        </w:rPr>
        <w:t>The verifier recomputes these properties from the persisted plan. Feasibility V(P) equals one only when the credit, load, prerequisite, leve</w:t>
      </w:r>
      <w:r>
        <w:rPr>
          <w:color w:val="000000"/>
          <w:sz w:val="22"/>
        </w:rPr>
        <w:t>l, duplicate, domain, LO-evidence, and regulatory predicates all equal one. This independent calculation prevents an optimisation routine from declaring success using stale intermediate state. International-quality indicators are reported alongside V(P) bu</w:t>
      </w:r>
      <w:r>
        <w:rPr>
          <w:color w:val="000000"/>
          <w:sz w:val="22"/>
        </w:rPr>
        <w:t>t cannot override a failed hard predicate.</w:t>
      </w:r>
    </w:p>
    <w:p w14:paraId="79B97B80" w14:textId="77777777" w:rsidR="00E921BC" w:rsidRDefault="00DD34C6">
      <w:pPr>
        <w:pStyle w:val="ICESTNormal"/>
        <w:ind w:firstLine="283"/>
      </w:pPr>
      <w:r>
        <w:rPr>
          <w:color w:val="000000"/>
          <w:sz w:val="22"/>
        </w:rPr>
        <w:t>Coverage is probabilistic rather than a simple course count. If several moderately supported courses address one outcome, their combined evidence increases while remaining bounded by one. This avoids reporting 300</w:t>
      </w:r>
      <w:r>
        <w:rPr>
          <w:color w:val="000000"/>
          <w:sz w:val="22"/>
        </w:rPr>
        <w:t>% coverage and prevents a single weak course from automatically producing a full score. The interface also shows the contributing courses so that an expert can inspect whether statistical aggregation matches academic judgement.</w:t>
      </w:r>
    </w:p>
    <w:p w14:paraId="5BC3E5A5" w14:textId="77777777" w:rsidR="00E921BC" w:rsidRDefault="00DD34C6">
      <w:pPr>
        <w:keepNext/>
        <w:spacing w:before="60" w:after="40"/>
      </w:pPr>
      <w:r>
        <w:rPr>
          <w:rFonts w:ascii="Times New Roman" w:eastAsia="Times New Roman" w:hAnsi="Times New Roman"/>
          <w:i/>
          <w:color w:val="000000"/>
          <w:sz w:val="20"/>
        </w:rPr>
        <w:t>4.5. Optimisation Variables,</w:t>
      </w:r>
      <w:r>
        <w:rPr>
          <w:rFonts w:ascii="Times New Roman" w:eastAsia="Times New Roman" w:hAnsi="Times New Roman"/>
          <w:i/>
          <w:color w:val="000000"/>
          <w:sz w:val="20"/>
        </w:rPr>
        <w:t xml:space="preserve"> Guarantees, and Complexity</w:t>
      </w:r>
    </w:p>
    <w:p w14:paraId="054DC66F" w14:textId="77777777" w:rsidR="00E921BC" w:rsidRDefault="00DD34C6">
      <w:pPr>
        <w:pStyle w:val="ICESTNormal"/>
        <w:ind w:firstLine="283"/>
      </w:pPr>
      <w:r>
        <w:rPr>
          <w:color w:val="000000"/>
          <w:sz w:val="22"/>
        </w:rPr>
        <w:t xml:space="preserve">Let </w:t>
      </w:r>
      <w:r>
        <w:rPr>
          <w:rFonts w:ascii="Cambria Math" w:eastAsia="Cambria Math" w:hAnsi="Cambria Math"/>
          <w:i/>
          <w:color w:val="000000"/>
          <w:sz w:val="22"/>
        </w:rPr>
        <w:t>x</w:t>
      </w:r>
      <w:r>
        <w:rPr>
          <w:rFonts w:ascii="Cambria Math" w:eastAsia="Cambria Math" w:hAnsi="Cambria Math"/>
          <w:i/>
          <w:color w:val="000000"/>
          <w:sz w:val="22"/>
          <w:vertAlign w:val="subscript"/>
        </w:rPr>
        <w:t>i</w:t>
      </w:r>
      <w:r>
        <w:rPr>
          <w:color w:val="000000"/>
          <w:sz w:val="22"/>
        </w:rPr>
        <w:t xml:space="preserve"> be a binary course-selection variable and </w:t>
      </w:r>
      <w:r>
        <w:rPr>
          <w:rFonts w:ascii="Cambria Math" w:eastAsia="Cambria Math" w:hAnsi="Cambria Math"/>
          <w:i/>
          <w:color w:val="000000"/>
          <w:sz w:val="22"/>
        </w:rPr>
        <w:t>z</w:t>
      </w:r>
      <w:r>
        <w:rPr>
          <w:rFonts w:ascii="Cambria Math" w:eastAsia="Cambria Math" w:hAnsi="Cambria Math"/>
          <w:i/>
          <w:color w:val="000000"/>
          <w:sz w:val="22"/>
          <w:vertAlign w:val="subscript"/>
        </w:rPr>
        <w:t>is</w:t>
      </w:r>
      <w:r>
        <w:rPr>
          <w:color w:val="000000"/>
          <w:sz w:val="22"/>
        </w:rPr>
        <w:t xml:space="preserve"> a binary assignment of course i to semester s. The admissible candidate set is fixed before optimisation by education-level, field, group, context, and minimum-evidence guards</w:t>
      </w:r>
      <w:r>
        <w:rPr>
          <w:color w:val="000000"/>
          <w:sz w:val="22"/>
        </w:rPr>
        <w:t>. The planner therefore optimises only over academically plausible candidates; it cannot compensate for an inadmissible course by giving it a favourable objective weight.</w:t>
      </w:r>
    </w:p>
    <w:p w14:paraId="13C23B7C" w14:textId="77777777" w:rsidR="00E921BC" w:rsidRDefault="00DD34C6">
      <w:pPr>
        <w:pStyle w:val="ICESTNormal"/>
        <w:ind w:firstLine="283"/>
      </w:pPr>
      <w:r>
        <w:rPr>
          <w:color w:val="000000"/>
          <w:sz w:val="22"/>
        </w:rPr>
        <w:t>The objective combines bounded LO coverage, semantic and expert relevance, domain bal</w:t>
      </w:r>
      <w:r>
        <w:rPr>
          <w:color w:val="000000"/>
          <w:sz w:val="22"/>
        </w:rPr>
        <w:t>ance, diversity, semester agreement, and bridge minimisation. Hard constraints are kept outside the weighted sum. This separation is important: no increase in similarity may purchase a prerequisite violation, an incorrect education level, or missing credit</w:t>
      </w:r>
      <w:r>
        <w:rPr>
          <w:color w:val="000000"/>
          <w:sz w:val="22"/>
        </w:rPr>
        <w:t>s. Variants A, B, and C use different soft weights but exactly the same hard predicates.</w:t>
      </w:r>
    </w:p>
    <w:p w14:paraId="1D70CF81" w14:textId="77777777" w:rsidR="00E921BC" w:rsidRDefault="00DD34C6">
      <w:pPr>
        <w:pStyle w:val="ICESTNormal"/>
        <w:ind w:firstLine="283"/>
      </w:pPr>
      <w:r>
        <w:rPr>
          <w:color w:val="000000"/>
          <w:sz w:val="22"/>
        </w:rPr>
        <w:t>Exact-credit selection is a bounded dynamic programme over the remaining credit target. If C is the target and n is the number of candidates, its pseudo-polynomial cos</w:t>
      </w:r>
      <w:r>
        <w:rPr>
          <w:color w:val="000000"/>
          <w:sz w:val="22"/>
        </w:rPr>
        <w:t>t is O(nC) before diversity checks. Prerequisite closure and cycle detection are O(|V|+|E|). Candidate retrieval dominates only when embeddings are not cached; with a vector index, approximate retrieval is sublinear in repository size and exact reranking i</w:t>
      </w:r>
      <w:r>
        <w:rPr>
          <w:color w:val="000000"/>
          <w:sz w:val="22"/>
        </w:rPr>
        <w:t>s applied to the bounded shortlist.</w:t>
      </w:r>
    </w:p>
    <w:p w14:paraId="0BD537F9" w14:textId="77777777" w:rsidR="00E921BC" w:rsidRDefault="00DD34C6">
      <w:pPr>
        <w:pStyle w:val="ICESTNormal"/>
        <w:ind w:firstLine="283"/>
      </w:pPr>
      <w:r>
        <w:rPr>
          <w:color w:val="000000"/>
          <w:sz w:val="22"/>
        </w:rPr>
        <w:t xml:space="preserve">The final guarantee is conditional and explicit. If the verifier accepts a persisted plan, then the implemented predicates for credit volume, semester load, forward prerequisites, level, duplicate titles, domain quotas, </w:t>
      </w:r>
      <w:r>
        <w:rPr>
          <w:color w:val="000000"/>
          <w:sz w:val="22"/>
        </w:rPr>
        <w:t>regulatory closure, and minimum real-course LO evidence all hold for that stored version. This is a software-verifiable structural guarantee, not a claim that accreditation or future student attainment has been proven.</w:t>
      </w:r>
    </w:p>
    <w:p w14:paraId="0DD0F01A" w14:textId="0D5E985E"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j</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r>
            <w:rPr>
              <w:rFonts w:ascii="Cambria Math" w:eastAsia="Cambria Math" w:hAnsi="Cambria Math"/>
              <w:color w:val="000000"/>
              <w:sz w:val="18"/>
            </w:rPr>
            <m:t>=1-</m:t>
          </m:r>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i:</m:t>
                  </m:r>
                  <m:sSub>
                    <m:sSubPr>
                      <m:ctrlPr>
                        <w:rPr>
                          <w:rFonts w:ascii="Cambria Math" w:eastAsia="Cambria Math" w:hAnsi="Cambria Math"/>
                          <w:i/>
                          <w:color w:val="000000"/>
                          <w:sz w:val="18"/>
                        </w:rPr>
                      </m:ctrlPr>
                    </m:sSubPr>
                    <m:e>
                      <m:r>
                        <w:rPr>
                          <w:rFonts w:ascii="Cambria Math" w:eastAsia="Cambria Math" w:hAnsi="Cambria Math"/>
                          <w:color w:val="000000"/>
                          <w:sz w:val="18"/>
                        </w:rPr>
                        <m:t>x</m:t>
                      </m:r>
                    </m:e>
                    <m:sub>
                      <m:r>
                        <w:rPr>
                          <w:rFonts w:ascii="Cambria Math" w:eastAsia="Cambria Math" w:hAnsi="Cambria Math"/>
                          <w:color w:val="000000"/>
                          <w:sz w:val="18"/>
                        </w:rPr>
                        <m:t>i</m:t>
                      </m:r>
                    </m:sub>
                  </m:sSub>
                  <m:r>
                    <w:rPr>
                      <w:rFonts w:ascii="Cambria Math" w:eastAsia="Cambria Math" w:hAnsi="Cambria Math"/>
                      <w:color w:val="000000"/>
                      <w:sz w:val="18"/>
                    </w:rPr>
                    <m:t>=1</m:t>
                  </m:r>
                </m:e>
              </m:d>
              <m:d>
                <m:dPr>
                  <m:ctrlPr>
                    <w:rPr>
                      <w:rFonts w:ascii="Cambria Math" w:eastAsia="Cambria Math" w:hAnsi="Cambria Math"/>
                      <w:i/>
                      <w:color w:val="000000"/>
                      <w:sz w:val="18"/>
                    </w:rPr>
                  </m:ctrlPr>
                </m:dPr>
                <m:e>
                  <m:r>
                    <w:rPr>
                      <w:rFonts w:ascii="Cambria Math" w:eastAsia="Cambria Math" w:hAnsi="Cambria Math"/>
                      <w:color w:val="000000"/>
                      <w:sz w:val="18"/>
                    </w:rPr>
                    <m:t>1-</m:t>
                  </m:r>
                  <m:sSub>
                    <m:sSubPr>
                      <m:ctrlPr>
                        <w:rPr>
                          <w:rFonts w:ascii="Cambria Math" w:eastAsia="Cambria Math" w:hAnsi="Cambria Math"/>
                          <w:i/>
                          <w:color w:val="000000"/>
                          <w:sz w:val="18"/>
                        </w:rPr>
                      </m:ctrlPr>
                    </m:sSubPr>
                    <m:e>
                      <m:r>
                        <w:rPr>
                          <w:rFonts w:ascii="Cambria Math" w:eastAsia="Cambria Math" w:hAnsi="Cambria Math"/>
                          <w:color w:val="000000"/>
                          <w:sz w:val="18"/>
                        </w:rPr>
                        <m:t>w</m:t>
                      </m:r>
                    </m:e>
                    <m:sub>
                      <m:r>
                        <w:rPr>
                          <w:rFonts w:ascii="Cambria Math" w:eastAsia="Cambria Math" w:hAnsi="Cambria Math"/>
                          <w:color w:val="000000"/>
                          <w:sz w:val="18"/>
                        </w:rPr>
                        <m:t>ij</m:t>
                      </m:r>
                    </m:sub>
                  </m:sSub>
                </m:e>
              </m:d>
            </m:sub>
            <m:sup/>
            <m:e/>
          </m:nary>
        </m:oMath>
      </m:oMathPara>
    </w:p>
    <w:p w14:paraId="2397C21B" w14:textId="77777777" w:rsidR="00E921BC" w:rsidRDefault="00DD34C6">
      <w:pPr>
        <w:pStyle w:val="ICESTNormal"/>
        <w:keepNext/>
        <w:spacing w:after="20" w:line="192" w:lineRule="auto"/>
        <w:ind w:firstLine="0"/>
        <w:jc w:val="right"/>
      </w:pPr>
      <w:r>
        <w:rPr>
          <w:color w:val="000000"/>
          <w:sz w:val="16"/>
        </w:rPr>
        <w:t>(19)</w:t>
      </w:r>
    </w:p>
    <w:p w14:paraId="0FFE432E" w14:textId="77777777" w:rsidR="00E921BC" w:rsidRDefault="00DD34C6">
      <w:pPr>
        <w:pStyle w:val="ICESTNormal"/>
        <w:spacing w:after="40"/>
        <w:ind w:firstLine="0"/>
      </w:pPr>
      <w:r>
        <w:rPr>
          <w:i/>
          <w:color w:val="000000"/>
          <w:sz w:val="18"/>
        </w:rPr>
        <w:t xml:space="preserve">Probabilistic coverage </w:t>
      </w:r>
      <w:r>
        <w:rPr>
          <w:rFonts w:ascii="Cambria Math" w:eastAsia="Cambria Math" w:hAnsi="Cambria Math"/>
          <w:i/>
          <w:color w:val="000000"/>
          <w:sz w:val="18"/>
        </w:rPr>
        <w:t>C</w:t>
      </w:r>
      <w:r>
        <w:rPr>
          <w:rFonts w:ascii="Cambria Math" w:eastAsia="Cambria Math" w:hAnsi="Cambria Math"/>
          <w:i/>
          <w:color w:val="000000"/>
          <w:sz w:val="18"/>
          <w:vertAlign w:val="subscript"/>
        </w:rPr>
        <w:t>j</w:t>
      </w:r>
      <w:r>
        <w:rPr>
          <w:i/>
          <w:color w:val="000000"/>
          <w:sz w:val="18"/>
        </w:rPr>
        <w:t>(P) aggregates independent supporting courses while remaining bounded by one.</w:t>
      </w:r>
    </w:p>
    <w:p w14:paraId="2863E61F" w14:textId="10CEEF6D" w:rsidR="00E921BC" w:rsidRDefault="00DD34C6">
      <w:pPr>
        <w:pStyle w:val="ICESTNormal"/>
        <w:keepNext/>
        <w:spacing w:before="60"/>
        <w:ind w:firstLine="0"/>
        <w:jc w:val="center"/>
      </w:pPr>
      <m:oMathPara>
        <m:oMath>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cov</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r>
            <w:rPr>
              <w:rFonts w:ascii="Cambria Math" w:eastAsia="Cambria Math" w:hAnsi="Cambria Math"/>
              <w:color w:val="000000"/>
              <w:sz w:val="18"/>
            </w:rPr>
            <m:t>=</m:t>
          </m:r>
          <m:f>
            <m:fPr>
              <m:ctrlPr>
                <w:rPr>
                  <w:rFonts w:ascii="Cambria Math" w:eastAsia="Cambria Math" w:hAnsi="Cambria Math"/>
                  <w:i/>
                  <w:color w:val="000000"/>
                  <w:sz w:val="18"/>
                </w:rPr>
              </m:ctrlPr>
            </m:fPr>
            <m:num>
              <m:r>
                <w:rPr>
                  <w:rFonts w:ascii="Cambria Math" w:eastAsia="Cambria Math" w:hAnsi="Cambria Math"/>
                  <w:color w:val="000000"/>
                  <w:sz w:val="18"/>
                </w:rPr>
                <m:t>1</m:t>
              </m:r>
            </m:num>
            <m:den>
              <m:r>
                <w:rPr>
                  <w:rFonts w:ascii="Cambria Math" w:eastAsia="Cambria Math" w:hAnsi="Cambria Math"/>
                  <w:color w:val="000000"/>
                  <w:sz w:val="18"/>
                </w:rPr>
                <m:t>m</m:t>
              </m:r>
            </m:den>
          </m:f>
          <m:nary>
            <m:naryPr>
              <m:chr m:val="∑"/>
              <m:ctrlPr>
                <w:rPr>
                  <w:rFonts w:ascii="Cambria Math" w:eastAsia="Cambria Math" w:hAnsi="Cambria Math"/>
                  <w:i/>
                  <w:color w:val="000000"/>
                  <w:sz w:val="18"/>
                </w:rPr>
              </m:ctrlPr>
            </m:naryPr>
            <m:sub>
              <m:r>
                <w:rPr>
                  <w:rFonts w:ascii="Cambria Math" w:eastAsia="Cambria Math" w:hAnsi="Cambria Math"/>
                  <w:color w:val="000000"/>
                  <w:sz w:val="18"/>
                </w:rPr>
                <m:t>j=1</m:t>
              </m:r>
            </m:sub>
            <m:sup>
              <m:r>
                <w:rPr>
                  <w:rFonts w:ascii="Cambria Math" w:eastAsia="Cambria Math" w:hAnsi="Cambria Math"/>
                  <w:color w:val="000000"/>
                  <w:sz w:val="18"/>
                </w:rPr>
                <m:t>m</m:t>
              </m:r>
            </m:sup>
            <m:e>
              <m:func>
                <m:funcPr>
                  <m:ctrlPr>
                    <w:rPr>
                      <w:rFonts w:ascii="Cambria Math" w:eastAsia="Cambria Math" w:hAnsi="Cambria Math"/>
                      <w:color w:val="000000"/>
                      <w:sz w:val="18"/>
                    </w:rPr>
                  </m:ctrlPr>
                </m:funcPr>
                <m:fName>
                  <m:r>
                    <m:rPr>
                      <m:sty m:val="p"/>
                    </m:rPr>
                    <w:rPr>
                      <w:rFonts w:ascii="Cambria Math" w:eastAsia="Cambria Math" w:hAnsi="Cambria Math"/>
                      <w:color w:val="000000"/>
                      <w:sz w:val="18"/>
                    </w:rPr>
                    <m:t>min</m:t>
                  </m:r>
                  <m:ctrlPr>
                    <w:rPr>
                      <w:rFonts w:ascii="Cambria Math" w:eastAsia="Cambria Math" w:hAnsi="Cambria Math"/>
                      <w:i/>
                      <w:color w:val="000000"/>
                      <w:sz w:val="18"/>
                    </w:rPr>
                  </m:ctrlPr>
                </m:fName>
                <m:e>
                  <m:d>
                    <m:dPr>
                      <m:begChr m:val="{"/>
                      <m:endChr m:val="}"/>
                      <m:ctrlPr>
                        <w:rPr>
                          <w:rFonts w:ascii="Cambria Math" w:eastAsia="Cambria Math" w:hAnsi="Cambria Math"/>
                          <w:i/>
                          <w:color w:val="000000"/>
                          <w:sz w:val="18"/>
                        </w:rPr>
                      </m:ctrlPr>
                    </m:dPr>
                    <m:e>
                      <m:f>
                        <m:fPr>
                          <m:ctrlPr>
                            <w:rPr>
                              <w:rFonts w:ascii="Cambria Math" w:eastAsia="Cambria Math" w:hAnsi="Cambria Math"/>
                              <w:i/>
                              <w:color w:val="000000"/>
                              <w:sz w:val="18"/>
                            </w:rPr>
                          </m:ctrlPr>
                        </m:fPr>
                        <m:num>
                          <m:sSub>
                            <m:sSubPr>
                              <m:ctrlPr>
                                <w:rPr>
                                  <w:rFonts w:ascii="Cambria Math" w:eastAsia="Cambria Math" w:hAnsi="Cambria Math"/>
                                  <w:i/>
                                  <w:color w:val="000000"/>
                                  <w:sz w:val="18"/>
                                </w:rPr>
                              </m:ctrlPr>
                            </m:sSubPr>
                            <m:e>
                              <m:r>
                                <w:rPr>
                                  <w:rFonts w:ascii="Cambria Math" w:eastAsia="Cambria Math" w:hAnsi="Cambria Math"/>
                                  <w:color w:val="000000"/>
                                  <w:sz w:val="18"/>
                                </w:rPr>
                                <m:t>C</m:t>
                              </m:r>
                            </m:e>
                            <m:sub>
                              <m:r>
                                <w:rPr>
                                  <w:rFonts w:ascii="Cambria Math" w:eastAsia="Cambria Math" w:hAnsi="Cambria Math"/>
                                  <w:color w:val="000000"/>
                                  <w:sz w:val="18"/>
                                </w:rPr>
                                <m:t>j</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num>
                        <m:den>
                          <m:sSub>
                            <m:sSubPr>
                              <m:ctrlPr>
                                <w:rPr>
                                  <w:rFonts w:ascii="Cambria Math" w:eastAsia="Cambria Math" w:hAnsi="Cambria Math"/>
                                  <w:i/>
                                  <w:color w:val="000000"/>
                                  <w:sz w:val="18"/>
                                </w:rPr>
                              </m:ctrlPr>
                            </m:sSubPr>
                            <m:e>
                              <m:r>
                                <w:rPr>
                                  <w:rFonts w:ascii="Cambria Math" w:eastAsia="Cambria Math" w:hAnsi="Cambria Math"/>
                                  <w:color w:val="000000"/>
                                  <w:sz w:val="18"/>
                                </w:rPr>
                                <m:t>τ</m:t>
                              </m:r>
                            </m:e>
                            <m:sub>
                              <m:r>
                                <w:rPr>
                                  <w:rFonts w:ascii="Cambria Math" w:eastAsia="Cambria Math" w:hAnsi="Cambria Math"/>
                                  <w:color w:val="000000"/>
                                  <w:sz w:val="18"/>
                                </w:rPr>
                                <m:t>cov</m:t>
                              </m:r>
                            </m:sub>
                          </m:sSub>
                        </m:den>
                      </m:f>
                      <m:r>
                        <w:rPr>
                          <w:rFonts w:ascii="Cambria Math" w:eastAsia="Cambria Math" w:hAnsi="Cambria Math"/>
                          <w:color w:val="000000"/>
                          <w:sz w:val="18"/>
                        </w:rPr>
                        <m:t>,1</m:t>
                      </m:r>
                    </m:e>
                  </m:d>
                </m:e>
              </m:func>
            </m:e>
          </m:nary>
        </m:oMath>
      </m:oMathPara>
    </w:p>
    <w:p w14:paraId="1B8005C3" w14:textId="77777777" w:rsidR="00E921BC" w:rsidRDefault="00DD34C6">
      <w:pPr>
        <w:pStyle w:val="ICESTNormal"/>
        <w:keepNext/>
        <w:spacing w:after="20" w:line="192" w:lineRule="auto"/>
        <w:ind w:firstLine="0"/>
        <w:jc w:val="right"/>
      </w:pPr>
      <w:r>
        <w:rPr>
          <w:color w:val="000000"/>
          <w:sz w:val="16"/>
        </w:rPr>
        <w:t>(20)</w:t>
      </w:r>
    </w:p>
    <w:p w14:paraId="1969BCCB" w14:textId="77777777" w:rsidR="00E921BC" w:rsidRDefault="00DD34C6">
      <w:pPr>
        <w:pStyle w:val="ICESTNormal"/>
        <w:spacing w:after="40"/>
        <w:ind w:firstLine="0"/>
      </w:pPr>
      <w:r>
        <w:rPr>
          <w:i/>
          <w:color w:val="000000"/>
          <w:sz w:val="18"/>
        </w:rPr>
        <w:t>Bounded mean coverage stops an already satisfied outcome from compensating for an uncovere</w:t>
      </w:r>
      <w:r>
        <w:rPr>
          <w:i/>
          <w:color w:val="000000"/>
          <w:sz w:val="18"/>
        </w:rPr>
        <w:t>d one.</w:t>
      </w:r>
    </w:p>
    <w:p w14:paraId="087C7F02" w14:textId="4C3DB4B8" w:rsidR="00E921BC" w:rsidRDefault="00DD34C6">
      <w:pPr>
        <w:pStyle w:val="ICESTNormal"/>
        <w:keepNext/>
        <w:spacing w:before="60"/>
        <w:ind w:firstLine="0"/>
        <w:jc w:val="center"/>
      </w:pPr>
      <m:oMathPara>
        <m:oMath>
          <m:r>
            <w:rPr>
              <w:rFonts w:ascii="Cambria Math" w:eastAsia="Cambria Math" w:hAnsi="Cambria Math"/>
              <w:color w:val="000000"/>
              <w:sz w:val="18"/>
            </w:rPr>
            <m:t>Φ</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1</m:t>
              </m:r>
              <m:sSub>
                <m:sSubPr>
                  <m:ctrlPr>
                    <w:rPr>
                      <w:rFonts w:ascii="Cambria Math" w:eastAsia="Cambria Math" w:hAnsi="Cambria Math"/>
                      <w:i/>
                      <w:color w:val="000000"/>
                      <w:sz w:val="18"/>
                    </w:rPr>
                  </m:ctrlPr>
                </m:sSubPr>
                <m:e>
                  <m:r>
                    <w:rPr>
                      <w:rFonts w:ascii="Cambria Math" w:eastAsia="Cambria Math" w:hAnsi="Cambria Math"/>
                      <w:color w:val="000000"/>
                      <w:sz w:val="18"/>
                    </w:rPr>
                    <m:t>F</m:t>
                  </m:r>
                </m:e>
                <m:sub>
                  <m:r>
                    <w:rPr>
                      <w:rFonts w:ascii="Cambria Math" w:eastAsia="Cambria Math" w:hAnsi="Cambria Math"/>
                      <w:color w:val="000000"/>
                      <w:sz w:val="18"/>
                    </w:rPr>
                    <m:t>cov</m:t>
                  </m:r>
                </m:sub>
              </m:sSub>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2Rel</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3Div</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4Sem</m:t>
              </m:r>
            </m:sub>
          </m:sSub>
        </m:oMath>
      </m:oMathPara>
    </w:p>
    <w:p w14:paraId="2B21193D" w14:textId="77777777" w:rsidR="00E921BC" w:rsidRDefault="00DD34C6">
      <w:pPr>
        <w:pStyle w:val="ICESTNormal"/>
        <w:keepNext/>
        <w:spacing w:after="20" w:line="192" w:lineRule="auto"/>
        <w:ind w:firstLine="0"/>
        <w:jc w:val="right"/>
      </w:pPr>
      <w:r>
        <w:rPr>
          <w:color w:val="000000"/>
          <w:sz w:val="16"/>
        </w:rPr>
        <w:t>(21)</w:t>
      </w:r>
    </w:p>
    <w:p w14:paraId="2FD204C4" w14:textId="77777777" w:rsidR="00E921BC" w:rsidRDefault="00DD34C6">
      <w:pPr>
        <w:pStyle w:val="ICESTNormal"/>
        <w:spacing w:after="40"/>
        <w:ind w:firstLine="0"/>
      </w:pPr>
      <w:r>
        <w:rPr>
          <w:i/>
          <w:color w:val="000000"/>
          <w:sz w:val="18"/>
        </w:rPr>
        <w:t>The positive utility combines bounded coverage, relevance, diversity, and semester agreement.</w:t>
      </w:r>
    </w:p>
    <w:p w14:paraId="270D913F" w14:textId="75D51B0E" w:rsidR="00E921BC" w:rsidRDefault="00DD34C6">
      <w:pPr>
        <w:pStyle w:val="ICESTNormal"/>
        <w:keepNext/>
        <w:spacing w:before="60"/>
        <w:ind w:firstLine="0"/>
        <w:jc w:val="center"/>
      </w:pPr>
      <m:oMathPara>
        <m:oMath>
          <m:r>
            <w:rPr>
              <w:rFonts w:ascii="Cambria Math" w:eastAsia="Cambria Math" w:hAnsi="Cambria Math"/>
              <w:color w:val="000000"/>
              <w:sz w:val="18"/>
            </w:rPr>
            <m:t>P^*=</m:t>
          </m:r>
          <m:r>
            <m:rPr>
              <m:sty m:val="p"/>
            </m:rPr>
            <w:rPr>
              <w:rFonts w:ascii="Cambria Math" w:eastAsia="Cambria Math" w:hAnsi="Cambria Math"/>
              <w:color w:val="000000"/>
              <w:sz w:val="18"/>
            </w:rPr>
            <m:t>arg</m:t>
          </m:r>
          <m:func>
            <m:funcPr>
              <m:ctrlPr>
                <w:rPr>
                  <w:rFonts w:ascii="Cambria Math" w:eastAsia="Cambria Math" w:hAnsi="Cambria Math"/>
                  <w:i/>
                  <w:color w:val="000000"/>
                  <w:sz w:val="18"/>
                </w:rPr>
              </m:ctrlPr>
            </m:funcPr>
            <m:fName>
              <m:limLow>
                <m:limLowPr>
                  <m:ctrlPr>
                    <w:rPr>
                      <w:rFonts w:ascii="Cambria Math" w:eastAsia="Cambria Math" w:hAnsi="Cambria Math"/>
                      <w:i/>
                      <w:color w:val="000000"/>
                      <w:sz w:val="18"/>
                    </w:rPr>
                  </m:ctrlPr>
                </m:limLowPr>
                <m:e>
                  <m:r>
                    <m:rPr>
                      <m:sty m:val="p"/>
                    </m:rPr>
                    <w:rPr>
                      <w:rFonts w:ascii="Cambria Math" w:eastAsia="Cambria Math" w:hAnsi="Cambria Math"/>
                      <w:color w:val="000000"/>
                      <w:sz w:val="18"/>
                    </w:rPr>
                    <m:t>max</m:t>
                  </m:r>
                  <m:ctrlPr>
                    <w:rPr>
                      <w:rFonts w:ascii="Cambria Math" w:eastAsia="Cambria Math" w:hAnsi="Cambria Math"/>
                      <w:color w:val="000000"/>
                      <w:sz w:val="18"/>
                    </w:rPr>
                  </m:ctrlPr>
                </m:e>
                <m:lim>
                  <m:r>
                    <w:rPr>
                      <w:rFonts w:ascii="Cambria Math" w:eastAsia="Cambria Math" w:hAnsi="Cambria Math"/>
                      <w:color w:val="000000"/>
                      <w:sz w:val="18"/>
                    </w:rPr>
                    <m:t>P∈F</m:t>
                  </m:r>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Φ</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5Red</m:t>
                          </m:r>
                        </m:sub>
                      </m:sSub>
                      <m:r>
                        <w:rPr>
                          <w:rFonts w:ascii="Cambria Math" w:eastAsia="Cambria Math" w:hAnsi="Cambria Math"/>
                          <w:color w:val="000000"/>
                          <w:sz w:val="18"/>
                        </w:rPr>
                        <m:t>-</m:t>
                      </m:r>
                      <m:sSub>
                        <m:sSubPr>
                          <m:ctrlPr>
                            <w:rPr>
                              <w:rFonts w:ascii="Cambria Math" w:eastAsia="Cambria Math" w:hAnsi="Cambria Math"/>
                              <w:i/>
                              <w:color w:val="000000"/>
                              <w:sz w:val="18"/>
                            </w:rPr>
                          </m:ctrlPr>
                        </m:sSubPr>
                        <m:e>
                          <m:r>
                            <w:rPr>
                              <w:rFonts w:ascii="Cambria Math" w:eastAsia="Cambria Math" w:hAnsi="Cambria Math"/>
                              <w:color w:val="000000"/>
                              <w:sz w:val="18"/>
                            </w:rPr>
                            <m:t>λ</m:t>
                          </m:r>
                        </m:e>
                        <m:sub>
                          <m:r>
                            <w:rPr>
                              <w:rFonts w:ascii="Cambria Math" w:eastAsia="Cambria Math" w:hAnsi="Cambria Math"/>
                              <w:color w:val="000000"/>
                              <w:sz w:val="18"/>
                            </w:rPr>
                            <m:t>6B</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e>
                  </m:d>
                  <m:ctrlPr>
                    <w:rPr>
                      <w:rFonts w:ascii="Cambria Math" w:eastAsia="Cambria Math" w:hAnsi="Cambria Math"/>
                      <w:color w:val="000000"/>
                      <w:sz w:val="18"/>
                    </w:rPr>
                  </m:ctrlPr>
                </m:lim>
              </m:limLow>
              <m:ctrlPr>
                <w:rPr>
                  <w:rFonts w:ascii="Cambria Math" w:eastAsia="Cambria Math" w:hAnsi="Cambria Math"/>
                  <w:color w:val="000000"/>
                  <w:sz w:val="18"/>
                </w:rPr>
              </m:ctrlPr>
            </m:fName>
            <m:e/>
          </m:func>
          <m:r>
            <w:rPr>
              <w:rFonts w:ascii="Cambria Math" w:eastAsia="Cambria Math" w:hAnsi="Cambria Math"/>
              <w:color w:val="000000"/>
              <w:sz w:val="18"/>
            </w:rPr>
            <m:t>}</m:t>
          </m:r>
        </m:oMath>
      </m:oMathPara>
    </w:p>
    <w:p w14:paraId="4E89E0A6" w14:textId="77777777" w:rsidR="00E921BC" w:rsidRDefault="00DD34C6">
      <w:pPr>
        <w:pStyle w:val="ICESTNormal"/>
        <w:keepNext/>
        <w:spacing w:after="20" w:line="192" w:lineRule="auto"/>
        <w:ind w:firstLine="0"/>
        <w:jc w:val="right"/>
      </w:pPr>
      <w:r>
        <w:rPr>
          <w:color w:val="000000"/>
          <w:sz w:val="16"/>
        </w:rPr>
        <w:t>(22)</w:t>
      </w:r>
    </w:p>
    <w:p w14:paraId="1A7C1414" w14:textId="77777777" w:rsidR="00E921BC" w:rsidRDefault="00DD34C6">
      <w:pPr>
        <w:pStyle w:val="ICESTNormal"/>
        <w:spacing w:after="40"/>
        <w:ind w:firstLine="0"/>
      </w:pPr>
      <w:r>
        <w:rPr>
          <w:i/>
          <w:color w:val="000000"/>
          <w:sz w:val="18"/>
        </w:rPr>
        <w:t xml:space="preserve">Optimisation is restricted to the </w:t>
      </w:r>
      <w:r>
        <w:rPr>
          <w:i/>
          <w:color w:val="000000"/>
          <w:sz w:val="18"/>
        </w:rPr>
        <w:t>hard-feasible set F; redundancy and synthetic bridges are penalised.</w:t>
      </w:r>
    </w:p>
    <w:p w14:paraId="251AF997" w14:textId="0016528F" w:rsidR="00E921BC" w:rsidRDefault="00DD34C6">
      <w:pPr>
        <w:pStyle w:val="ICESTNormal"/>
        <w:keepNext/>
        <w:spacing w:before="60"/>
        <w:ind w:firstLine="0"/>
        <w:jc w:val="center"/>
      </w:pPr>
      <m:oMathPara>
        <m:oMath>
          <m:r>
            <w:rPr>
              <w:rFonts w:ascii="Cambria Math" w:eastAsia="Cambria Math" w:hAnsi="Cambria Math"/>
              <w:color w:val="000000"/>
              <w:sz w:val="18"/>
            </w:rPr>
            <m:t>V</m:t>
          </m:r>
          <m:d>
            <m:dPr>
              <m:ctrlPr>
                <w:rPr>
                  <w:rFonts w:ascii="Cambria Math" w:eastAsia="Cambria Math" w:hAnsi="Cambria Math"/>
                  <w:i/>
                  <w:color w:val="000000"/>
                  <w:sz w:val="18"/>
                </w:rPr>
              </m:ctrlPr>
            </m:dPr>
            <m:e>
              <m:r>
                <w:rPr>
                  <w:rFonts w:ascii="Cambria Math" w:eastAsia="Cambria Math" w:hAnsi="Cambria Math"/>
                  <w:color w:val="000000"/>
                  <w:sz w:val="18"/>
                </w:rPr>
                <m:t>P</m:t>
              </m:r>
            </m:e>
          </m:d>
          <m:r>
            <w:rPr>
              <w:rFonts w:ascii="Cambria Math" w:eastAsia="Cambria Math" w:hAnsi="Cambria Math"/>
              <w:color w:val="000000"/>
              <w:sz w:val="18"/>
            </w:rPr>
            <m:t>=</m:t>
          </m:r>
          <m:nary>
            <m:naryPr>
              <m:chr m:val="∏"/>
              <m:ctrlPr>
                <w:rPr>
                  <w:rFonts w:ascii="Cambria Math" w:eastAsia="Cambria Math" w:hAnsi="Cambria Math"/>
                  <w:i/>
                  <w:color w:val="000000"/>
                  <w:sz w:val="18"/>
                </w:rPr>
              </m:ctrlPr>
            </m:naryPr>
            <m:sub>
              <m:r>
                <w:rPr>
                  <w:rFonts w:ascii="Cambria Math" w:eastAsia="Cambria Math" w:hAnsi="Cambria Math"/>
                  <w:color w:val="000000"/>
                  <w:sz w:val="18"/>
                </w:rPr>
                <m:t>k=1</m:t>
              </m:r>
            </m:sub>
            <m:sup>
              <m:r>
                <w:rPr>
                  <w:rFonts w:ascii="Cambria Math" w:eastAsia="Cambria Math" w:hAnsi="Cambria Math"/>
                  <w:color w:val="000000"/>
                  <w:sz w:val="18"/>
                </w:rPr>
                <m:t>K</m:t>
              </m:r>
            </m:sup>
            <m:e>
              <m:sSub>
                <m:sSubPr>
                  <m:ctrlPr>
                    <w:rPr>
                      <w:rFonts w:ascii="Cambria Math" w:eastAsia="Cambria Math" w:hAnsi="Cambria Math"/>
                      <w:i/>
                      <w:color w:val="000000"/>
                      <w:sz w:val="18"/>
                    </w:rPr>
                  </m:ctrlPr>
                </m:sSubPr>
                <m:e>
                  <m:r>
                    <w:rPr>
                      <w:rFonts w:ascii="Cambria Math" w:eastAsia="Cambria Math" w:hAnsi="Cambria Math"/>
                      <w:color w:val="000000"/>
                      <w:sz w:val="18"/>
                    </w:rPr>
                    <m:t>I</m:t>
                  </m:r>
                </m:e>
                <m:sub>
                  <m:r>
                    <w:rPr>
                      <w:rFonts w:ascii="Cambria Math" w:eastAsia="Cambria Math" w:hAnsi="Cambria Math"/>
                      <w:color w:val="000000"/>
                      <w:sz w:val="18"/>
                    </w:rPr>
                    <m:t>k</m:t>
                  </m:r>
                  <m:d>
                    <m:dPr>
                      <m:ctrlPr>
                        <w:rPr>
                          <w:rFonts w:ascii="Cambria Math" w:eastAsia="Cambria Math" w:hAnsi="Cambria Math"/>
                          <w:i/>
                          <w:color w:val="000000"/>
                          <w:sz w:val="18"/>
                        </w:rPr>
                      </m:ctrlPr>
                    </m:dPr>
                    <m:e>
                      <m:r>
                        <w:rPr>
                          <w:rFonts w:ascii="Cambria Math" w:eastAsia="Cambria Math" w:hAnsi="Cambria Math"/>
                          <w:color w:val="000000"/>
                          <w:sz w:val="18"/>
                        </w:rPr>
                        <m:t>P</m:t>
                      </m:r>
                    </m:e>
                  </m:d>
                </m:sub>
              </m:sSub>
            </m:e>
          </m:nary>
        </m:oMath>
      </m:oMathPara>
    </w:p>
    <w:p w14:paraId="16E5E3C9" w14:textId="77777777" w:rsidR="00E921BC" w:rsidRDefault="00DD34C6">
      <w:pPr>
        <w:pStyle w:val="ICESTNormal"/>
        <w:keepNext/>
        <w:spacing w:after="20" w:line="192" w:lineRule="auto"/>
        <w:ind w:firstLine="0"/>
        <w:jc w:val="right"/>
      </w:pPr>
      <w:r>
        <w:rPr>
          <w:color w:val="000000"/>
          <w:sz w:val="16"/>
        </w:rPr>
        <w:t>(23)</w:t>
      </w:r>
    </w:p>
    <w:p w14:paraId="0C6045E7" w14:textId="77777777" w:rsidR="00E921BC" w:rsidRDefault="00DD34C6">
      <w:pPr>
        <w:pStyle w:val="ICESTNormal"/>
        <w:spacing w:after="40"/>
        <w:ind w:firstLine="0"/>
      </w:pPr>
      <w:r>
        <w:rPr>
          <w:i/>
          <w:color w:val="000000"/>
          <w:sz w:val="18"/>
        </w:rPr>
        <w:t xml:space="preserve">The independent verifier accepts a persisted plan only when every hard predicate </w:t>
      </w:r>
      <w:r>
        <w:rPr>
          <w:rFonts w:ascii="Cambria Math" w:eastAsia="Cambria Math" w:hAnsi="Cambria Math"/>
          <w:i/>
          <w:color w:val="000000"/>
          <w:sz w:val="18"/>
        </w:rPr>
        <w:t>I</w:t>
      </w:r>
      <w:r>
        <w:rPr>
          <w:rFonts w:ascii="Cambria Math" w:eastAsia="Cambria Math" w:hAnsi="Cambria Math"/>
          <w:i/>
          <w:color w:val="000000"/>
          <w:sz w:val="18"/>
          <w:vertAlign w:val="subscript"/>
        </w:rPr>
        <w:t>k</w:t>
      </w:r>
      <w:r>
        <w:rPr>
          <w:i/>
          <w:color w:val="000000"/>
          <w:sz w:val="18"/>
        </w:rPr>
        <w:t xml:space="preserve"> is true.</w:t>
      </w:r>
    </w:p>
    <w:p w14:paraId="64666504" w14:textId="77777777" w:rsidR="00E921BC" w:rsidRDefault="00DD34C6">
      <w:pPr>
        <w:keepNext/>
        <w:spacing w:before="120" w:after="40"/>
      </w:pPr>
      <w:r>
        <w:rPr>
          <w:rFonts w:ascii="Times New Roman" w:eastAsia="Times New Roman" w:hAnsi="Times New Roman"/>
          <w:b/>
          <w:color w:val="000000"/>
        </w:rPr>
        <w:t>5. Experimental Design</w:t>
      </w:r>
    </w:p>
    <w:p w14:paraId="473E29D6" w14:textId="77777777" w:rsidR="00E921BC" w:rsidRDefault="00DD34C6">
      <w:pPr>
        <w:pStyle w:val="ICESTNormal"/>
        <w:ind w:firstLine="283"/>
      </w:pPr>
      <w:r>
        <w:rPr>
          <w:color w:val="000000"/>
          <w:sz w:val="22"/>
        </w:rPr>
        <w:t xml:space="preserve">Evaluation separates pair classification, retrieval ranking, and complete-plan validity. ROC-AUC, PR-AUC, and F1 evaluate course-to-outcome </w:t>
      </w:r>
      <w:r>
        <w:rPr>
          <w:color w:val="000000"/>
          <w:sz w:val="22"/>
        </w:rPr>
        <w:t>classification. Recall@K measures the fraction of expert-relevant courses recovered in the first K positions, MRR rewards the position of the first relevant course, and nDCG@K evaluates the full graded ordering. At plan level, the verifier checks exact cre</w:t>
      </w:r>
      <w:r>
        <w:rPr>
          <w:color w:val="000000"/>
          <w:sz w:val="22"/>
        </w:rPr>
        <w:t>dits, semester load, prerequisites, education level, duplicate titles, domain quotas, real learning-outcome evidence, and protected regulatory components.</w:t>
      </w:r>
    </w:p>
    <w:p w14:paraId="36D7D959" w14:textId="77777777" w:rsidR="00E921BC" w:rsidRDefault="00DD34C6">
      <w:pPr>
        <w:pStyle w:val="ICESTNormal"/>
        <w:ind w:firstLine="283"/>
      </w:pPr>
      <w:r>
        <w:rPr>
          <w:color w:val="000000"/>
          <w:sz w:val="22"/>
        </w:rPr>
        <w:t>During iterative functional testing, more than 80 classical and interdisciplinary programme configura</w:t>
      </w:r>
      <w:r>
        <w:rPr>
          <w:color w:val="000000"/>
          <w:sz w:val="22"/>
        </w:rPr>
        <w:t>tions were successfully generated and reviewed across bachelor's, master's, and doctoral levels. For the reproducible numerical comparison reported here, six quality-eligible fresh programmes were selected as a balanced cohort: three operated in internatio</w:t>
      </w:r>
      <w:r>
        <w:rPr>
          <w:color w:val="000000"/>
          <w:sz w:val="22"/>
        </w:rPr>
        <w:t>nal mode and three followed the protected Kazakhstan regulatory mode. An additional deliberately infeasible stress case was excluded before aggregation. The same validator and tolerance of ±1 semester were used. This is structural validation, not a blinded</w:t>
      </w:r>
      <w:r>
        <w:rPr>
          <w:color w:val="000000"/>
          <w:sz w:val="22"/>
        </w:rPr>
        <w:t xml:space="preserve"> accreditation study.</w:t>
      </w:r>
    </w:p>
    <w:p w14:paraId="11BA06AC" w14:textId="77777777" w:rsidR="00E921BC" w:rsidRDefault="00DD34C6">
      <w:pPr>
        <w:pStyle w:val="ICESTNormal"/>
        <w:ind w:firstLine="283"/>
      </w:pPr>
      <w:r>
        <w:rPr>
          <w:color w:val="000000"/>
          <w:sz w:val="22"/>
        </w:rPr>
        <w:t>SCES RK is the State Compulsory Standard of Education of the Republic of Kazakhstan. Depending on education level, it introduces a protected core of mandatory general education, practice, research work, and final attestation. These co</w:t>
      </w:r>
      <w:r>
        <w:rPr>
          <w:color w:val="000000"/>
          <w:sz w:val="22"/>
        </w:rPr>
        <w:t>mponents cannot be replaced merely to increase semantic similarity. Consequently, raw EPVO provenance and semester flexibility are expected to be lower in the regulated cohort; profile-only metrics must therefore be reported separately.</w:t>
      </w:r>
    </w:p>
    <w:p w14:paraId="289EB812" w14:textId="77777777" w:rsidR="00E921BC" w:rsidRDefault="00DD34C6">
      <w:pPr>
        <w:keepNext/>
        <w:spacing w:before="60" w:after="40"/>
      </w:pPr>
      <w:r>
        <w:rPr>
          <w:rFonts w:ascii="Times New Roman" w:eastAsia="Times New Roman" w:hAnsi="Times New Roman"/>
          <w:i/>
          <w:color w:val="000000"/>
          <w:sz w:val="20"/>
        </w:rPr>
        <w:t>5.1. Why Several Me</w:t>
      </w:r>
      <w:r>
        <w:rPr>
          <w:rFonts w:ascii="Times New Roman" w:eastAsia="Times New Roman" w:hAnsi="Times New Roman"/>
          <w:i/>
          <w:color w:val="000000"/>
          <w:sz w:val="20"/>
        </w:rPr>
        <w:t>trics Are Required</w:t>
      </w:r>
    </w:p>
    <w:p w14:paraId="6C085E3B" w14:textId="77777777" w:rsidR="00E921BC" w:rsidRDefault="00DD34C6">
      <w:pPr>
        <w:pStyle w:val="ICESTNormal"/>
        <w:ind w:firstLine="283"/>
      </w:pPr>
      <w:r>
        <w:rPr>
          <w:color w:val="000000"/>
          <w:sz w:val="22"/>
        </w:rPr>
        <w:t>Classification and ranking answer different questions. ROC-AUC measures pair separation across thresholds, whereas PR-AUC is more informative when supported links are sparse. F1 evaluates one frozen decision threshold. Recall@K asks whet</w:t>
      </w:r>
      <w:r>
        <w:rPr>
          <w:color w:val="000000"/>
          <w:sz w:val="22"/>
        </w:rPr>
        <w:t>her expert-relevant courses appear in the shortlist shown to a programme designer. MRR rewards placing the first relevant course early, and nDCG gives larger gain to strongly rated items near the top.</w:t>
      </w:r>
    </w:p>
    <w:p w14:paraId="1813F985" w14:textId="77777777" w:rsidR="00E921BC" w:rsidRDefault="00DD34C6">
      <w:pPr>
        <w:pStyle w:val="ICESTNormal"/>
        <w:ind w:firstLine="283"/>
      </w:pPr>
      <w:r>
        <w:rPr>
          <w:color w:val="000000"/>
          <w:sz w:val="22"/>
        </w:rPr>
        <w:t>Plan-level validity cannot be inferred from pair metric</w:t>
      </w:r>
      <w:r>
        <w:rPr>
          <w:color w:val="000000"/>
          <w:sz w:val="22"/>
        </w:rPr>
        <w:t xml:space="preserve">s. A model may retrieve relevant courses yet generate an impossible credit total or reverse a prerequisite. The evaluation therefore follows a hierarchy: pair classification, shortlist ranking, graph and semester consistency, complete-plan invariants, and </w:t>
      </w:r>
      <w:r>
        <w:rPr>
          <w:color w:val="000000"/>
          <w:sz w:val="22"/>
        </w:rPr>
        <w:t>qualitative expert review. A result is promoted only if the relevant lower-level metrics improve and the higher-level invariants remain intact.</w:t>
      </w:r>
    </w:p>
    <w:p w14:paraId="51580F00" w14:textId="77777777" w:rsidR="00E921BC" w:rsidRDefault="00DD34C6">
      <w:pPr>
        <w:pStyle w:val="ICESTNormal"/>
        <w:ind w:firstLine="283"/>
      </w:pPr>
      <w:r>
        <w:rPr>
          <w:color w:val="000000"/>
          <w:sz w:val="22"/>
        </w:rPr>
        <w:t>The reported GOSO comparison is an explanatory cohort analysis rather than a causal estimate. The cohorts have e</w:t>
      </w:r>
      <w:r>
        <w:rPr>
          <w:color w:val="000000"/>
          <w:sz w:val="22"/>
        </w:rPr>
        <w:t>qual size and use the same verifier, but programme content is not randomly assigned to regulatory mode. Confidence intervals and blinded multi-institutional review are planned for a larger prospective evaluation.</w:t>
      </w:r>
    </w:p>
    <w:p w14:paraId="3A4448DE" w14:textId="79C396B7" w:rsidR="00E921BC" w:rsidRDefault="00DD34C6">
      <w:pPr>
        <w:pStyle w:val="ICESTNormal"/>
        <w:keepNext/>
        <w:spacing w:before="60"/>
        <w:ind w:firstLine="0"/>
        <w:jc w:val="center"/>
      </w:pPr>
      <m:oMathPara>
        <m:oMath>
          <m:r>
            <w:rPr>
              <w:rFonts w:ascii="Cambria Math" w:eastAsia="Cambria Math" w:hAnsi="Cambria Math"/>
              <w:color w:val="000000"/>
              <w:sz w:val="18"/>
            </w:rPr>
            <m:t>Recall@K=</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Rel</m:t>
                  </m:r>
                  <m:d>
                    <m:dPr>
                      <m:ctrlPr>
                        <w:rPr>
                          <w:rFonts w:ascii="Cambria Math" w:eastAsia="Cambria Math" w:hAnsi="Cambria Math"/>
                          <w:i/>
                          <w:color w:val="000000"/>
                          <w:sz w:val="18"/>
                        </w:rPr>
                      </m:ctrlPr>
                    </m:dPr>
                    <m:e>
                      <m:r>
                        <w:rPr>
                          <w:rFonts w:ascii="Cambria Math" w:eastAsia="Cambria Math" w:hAnsi="Cambria Math"/>
                          <w:color w:val="000000"/>
                          <w:sz w:val="18"/>
                        </w:rPr>
                        <m:t>q</m:t>
                      </m:r>
                    </m:e>
                  </m:d>
                  <m:r>
                    <w:rPr>
                      <w:rFonts w:ascii="Cambria Math" w:eastAsia="Cambria Math" w:hAnsi="Cambria Math"/>
                      <w:color w:val="000000"/>
                      <w:sz w:val="18"/>
                    </w:rPr>
                    <m:t>∩TopK</m:t>
                  </m:r>
                  <m:d>
                    <m:dPr>
                      <m:ctrlPr>
                        <w:rPr>
                          <w:rFonts w:ascii="Cambria Math" w:eastAsia="Cambria Math" w:hAnsi="Cambria Math"/>
                          <w:i/>
                          <w:color w:val="000000"/>
                          <w:sz w:val="18"/>
                        </w:rPr>
                      </m:ctrlPr>
                    </m:dPr>
                    <m:e>
                      <m:r>
                        <w:rPr>
                          <w:rFonts w:ascii="Cambria Math" w:eastAsia="Cambria Math" w:hAnsi="Cambria Math"/>
                          <w:color w:val="000000"/>
                          <w:sz w:val="18"/>
                        </w:rPr>
                        <m:t>q</m:t>
                      </m:r>
                    </m:e>
                  </m:d>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Rel</m:t>
                  </m:r>
                  <m:d>
                    <m:dPr>
                      <m:ctrlPr>
                        <w:rPr>
                          <w:rFonts w:ascii="Cambria Math" w:eastAsia="Cambria Math" w:hAnsi="Cambria Math"/>
                          <w:i/>
                          <w:color w:val="000000"/>
                          <w:sz w:val="18"/>
                        </w:rPr>
                      </m:ctrlPr>
                    </m:dPr>
                    <m:e>
                      <m:r>
                        <w:rPr>
                          <w:rFonts w:ascii="Cambria Math" w:eastAsia="Cambria Math" w:hAnsi="Cambria Math"/>
                          <w:color w:val="000000"/>
                          <w:sz w:val="18"/>
                        </w:rPr>
                        <m:t>q</m:t>
                      </m:r>
                    </m:e>
                  </m:d>
                </m:e>
              </m:d>
            </m:den>
          </m:f>
        </m:oMath>
      </m:oMathPara>
    </w:p>
    <w:p w14:paraId="68AC4CA1" w14:textId="77777777" w:rsidR="00E921BC" w:rsidRDefault="00DD34C6">
      <w:pPr>
        <w:pStyle w:val="ICESTNormal"/>
        <w:keepNext/>
        <w:spacing w:after="20" w:line="192" w:lineRule="auto"/>
        <w:ind w:firstLine="0"/>
        <w:jc w:val="right"/>
      </w:pPr>
      <w:r>
        <w:rPr>
          <w:color w:val="000000"/>
          <w:sz w:val="16"/>
        </w:rPr>
        <w:t>(24)</w:t>
      </w:r>
    </w:p>
    <w:p w14:paraId="3504B07A" w14:textId="77777777" w:rsidR="00E921BC" w:rsidRDefault="00DD34C6">
      <w:pPr>
        <w:pStyle w:val="ICESTNormal"/>
        <w:spacing w:after="40"/>
        <w:ind w:firstLine="0"/>
      </w:pPr>
      <w:r>
        <w:rPr>
          <w:i/>
          <w:color w:val="000000"/>
          <w:sz w:val="18"/>
        </w:rPr>
        <w:t>Recall@K is the share of all expert-relevant courses retrieved among the first K candidates for query q.</w:t>
      </w:r>
    </w:p>
    <w:p w14:paraId="0FF3190E" w14:textId="486474CE" w:rsidR="00E921BC" w:rsidRDefault="00DD34C6">
      <w:pPr>
        <w:pStyle w:val="ICESTNormal"/>
        <w:keepNext/>
        <w:spacing w:before="60"/>
        <w:ind w:firstLine="0"/>
        <w:jc w:val="center"/>
      </w:pPr>
      <m:oMathPara>
        <m:oMath>
          <m:r>
            <w:rPr>
              <w:rFonts w:ascii="Cambria Math" w:eastAsia="Cambria Math" w:hAnsi="Cambria Math"/>
              <w:color w:val="000000"/>
              <w:sz w:val="18"/>
            </w:rPr>
            <m:t>MRR=</m:t>
          </m:r>
          <m:f>
            <m:fPr>
              <m:ctrlPr>
                <w:rPr>
                  <w:rFonts w:ascii="Cambria Math" w:eastAsia="Cambria Math" w:hAnsi="Cambria Math"/>
                  <w:i/>
                  <w:color w:val="000000"/>
                  <w:sz w:val="18"/>
                </w:rPr>
              </m:ctrlPr>
            </m:fPr>
            <m:num>
              <m:f>
                <m:fPr>
                  <m:ctrlPr>
                    <w:rPr>
                      <w:rFonts w:ascii="Cambria Math" w:eastAsia="Cambria Math" w:hAnsi="Cambria Math"/>
                      <w:i/>
                      <w:color w:val="000000"/>
                      <w:sz w:val="18"/>
                    </w:rPr>
                  </m:ctrlPr>
                </m:fPr>
                <m:num>
                  <m:r>
                    <w:rPr>
                      <w:rFonts w:ascii="Cambria Math" w:eastAsia="Cambria Math" w:hAnsi="Cambria Math"/>
                      <w:color w:val="000000"/>
                      <w:sz w:val="18"/>
                    </w:rPr>
                    <m:t>1</m:t>
                  </m:r>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Q</m:t>
                      </m:r>
                    </m:e>
                  </m:d>
                  <m:nary>
                    <m:naryPr>
                      <m:chr m:val="∑"/>
                      <m:supHide m:val="1"/>
                      <m:ctrlPr>
                        <w:rPr>
                          <w:rFonts w:ascii="Cambria Math" w:eastAsia="Cambria Math" w:hAnsi="Cambria Math"/>
                          <w:i/>
                          <w:color w:val="000000"/>
                          <w:sz w:val="18"/>
                        </w:rPr>
                      </m:ctrlPr>
                    </m:naryPr>
                    <m:sub>
                      <m:d>
                        <m:dPr>
                          <m:ctrlPr>
                            <w:rPr>
                              <w:rFonts w:ascii="Cambria Math" w:eastAsia="Cambria Math" w:hAnsi="Cambria Math"/>
                              <w:i/>
                              <w:color w:val="000000"/>
                              <w:sz w:val="18"/>
                            </w:rPr>
                          </m:ctrlPr>
                        </m:dPr>
                        <m:e>
                          <m:r>
                            <w:rPr>
                              <w:rFonts w:ascii="Cambria Math" w:eastAsia="Cambria Math" w:hAnsi="Cambria Math"/>
                              <w:color w:val="000000"/>
                              <w:sz w:val="18"/>
                            </w:rPr>
                            <m:t>q∈Q</m:t>
                          </m:r>
                        </m:e>
                      </m:d>
                      <m:r>
                        <w:rPr>
                          <w:rFonts w:ascii="Cambria Math" w:eastAsia="Cambria Math" w:hAnsi="Cambria Math"/>
                          <w:color w:val="000000"/>
                          <w:sz w:val="18"/>
                        </w:rPr>
                        <m:t>1</m:t>
                      </m:r>
                    </m:sub>
                    <m:sup/>
                    <m:e/>
                  </m:nary>
                </m:den>
              </m:f>
            </m:num>
            <m:den>
              <m:r>
                <w:rPr>
                  <w:rFonts w:ascii="Cambria Math" w:eastAsia="Cambria Math" w:hAnsi="Cambria Math"/>
                  <w:color w:val="000000"/>
                  <w:sz w:val="18"/>
                </w:rPr>
                <m:t>ran</m:t>
              </m:r>
              <m:sSub>
                <m:sSubPr>
                  <m:ctrlPr>
                    <w:rPr>
                      <w:rFonts w:ascii="Cambria Math" w:eastAsia="Cambria Math" w:hAnsi="Cambria Math"/>
                      <w:i/>
                      <w:color w:val="000000"/>
                      <w:sz w:val="18"/>
                    </w:rPr>
                  </m:ctrlPr>
                </m:sSubPr>
                <m:e>
                  <m:r>
                    <w:rPr>
                      <w:rFonts w:ascii="Cambria Math" w:eastAsia="Cambria Math" w:hAnsi="Cambria Math"/>
                      <w:color w:val="000000"/>
                      <w:sz w:val="18"/>
                    </w:rPr>
                    <m:t>k</m:t>
                  </m:r>
                </m:e>
                <m:sub>
                  <m:r>
                    <w:rPr>
                      <w:rFonts w:ascii="Cambria Math" w:eastAsia="Cambria Math" w:hAnsi="Cambria Math"/>
                      <w:color w:val="000000"/>
                      <w:sz w:val="18"/>
                    </w:rPr>
                    <m:t>q</m:t>
                  </m:r>
                </m:sub>
              </m:sSub>
            </m:den>
          </m:f>
        </m:oMath>
      </m:oMathPara>
    </w:p>
    <w:p w14:paraId="7C14F4AA" w14:textId="77777777" w:rsidR="00E921BC" w:rsidRDefault="00DD34C6">
      <w:pPr>
        <w:pStyle w:val="ICESTNormal"/>
        <w:keepNext/>
        <w:spacing w:after="20" w:line="192" w:lineRule="auto"/>
        <w:ind w:firstLine="0"/>
        <w:jc w:val="right"/>
      </w:pPr>
      <w:r>
        <w:rPr>
          <w:color w:val="000000"/>
          <w:sz w:val="16"/>
        </w:rPr>
        <w:t>(25)</w:t>
      </w:r>
    </w:p>
    <w:p w14:paraId="4AFB2202" w14:textId="77777777" w:rsidR="00E921BC" w:rsidRDefault="00DD34C6">
      <w:pPr>
        <w:pStyle w:val="ICESTNormal"/>
        <w:spacing w:after="40"/>
        <w:ind w:firstLine="0"/>
      </w:pPr>
      <w:r>
        <w:rPr>
          <w:i/>
          <w:color w:val="000000"/>
          <w:sz w:val="18"/>
        </w:rPr>
        <w:t>MRR is the mean reciprocal position of the first relevant course; earlier correct results receive greater w</w:t>
      </w:r>
      <w:r>
        <w:rPr>
          <w:i/>
          <w:color w:val="000000"/>
          <w:sz w:val="18"/>
        </w:rPr>
        <w:t>eight.</w:t>
      </w:r>
    </w:p>
    <w:p w14:paraId="1F547122" w14:textId="203EE17F" w:rsidR="00E921BC" w:rsidRDefault="00DD34C6">
      <w:pPr>
        <w:pStyle w:val="ICESTNormal"/>
        <w:keepNext/>
        <w:spacing w:before="60"/>
        <w:ind w:firstLine="0"/>
        <w:jc w:val="center"/>
      </w:pPr>
      <m:oMathPara>
        <m:oMath>
          <m:r>
            <w:rPr>
              <w:rFonts w:ascii="Cambria Math" w:eastAsia="Cambria Math" w:hAnsi="Cambria Math"/>
              <w:color w:val="000000"/>
              <w:sz w:val="18"/>
            </w:rPr>
            <m:t>DCG@K=</m:t>
          </m:r>
          <m:nary>
            <m:naryPr>
              <m:chr m:val="∑"/>
              <m:ctrlPr>
                <w:rPr>
                  <w:rFonts w:ascii="Cambria Math" w:eastAsia="Cambria Math" w:hAnsi="Cambria Math"/>
                  <w:i/>
                  <w:color w:val="000000"/>
                  <w:sz w:val="18"/>
                </w:rPr>
              </m:ctrlPr>
            </m:naryPr>
            <m:sub>
              <m:r>
                <w:rPr>
                  <w:rFonts w:ascii="Cambria Math" w:eastAsia="Cambria Math" w:hAnsi="Cambria Math"/>
                  <w:color w:val="000000"/>
                  <w:sz w:val="18"/>
                </w:rPr>
                <m:t>r=1</m:t>
              </m:r>
            </m:sub>
            <m:sup>
              <m:r>
                <w:rPr>
                  <w:rFonts w:ascii="Cambria Math" w:eastAsia="Cambria Math" w:hAnsi="Cambria Math"/>
                  <w:color w:val="000000"/>
                  <w:sz w:val="18"/>
                </w:rPr>
                <m:t>K</m:t>
              </m:r>
              <m:d>
                <m:dPr>
                  <m:ctrlPr>
                    <w:rPr>
                      <w:rFonts w:ascii="Cambria Math" w:eastAsia="Cambria Math" w:hAnsi="Cambria Math"/>
                      <w:i/>
                      <w:color w:val="000000"/>
                      <w:sz w:val="18"/>
                    </w:rPr>
                  </m:ctrlPr>
                </m:dPr>
                <m:e>
                  <m:sSup>
                    <m:sSupPr>
                      <m:ctrlPr>
                        <w:rPr>
                          <w:rFonts w:ascii="Cambria Math" w:eastAsia="Cambria Math" w:hAnsi="Cambria Math"/>
                          <w:i/>
                          <w:color w:val="000000"/>
                          <w:sz w:val="18"/>
                        </w:rPr>
                      </m:ctrlPr>
                    </m:sSupPr>
                    <m:e>
                      <m:r>
                        <w:rPr>
                          <w:rFonts w:ascii="Cambria Math" w:eastAsia="Cambria Math" w:hAnsi="Cambria Math"/>
                          <w:color w:val="000000"/>
                          <w:sz w:val="18"/>
                        </w:rPr>
                        <m:t>2</m:t>
                      </m:r>
                    </m:e>
                    <m:sup>
                      <m:sSub>
                        <m:sSubPr>
                          <m:ctrlPr>
                            <w:rPr>
                              <w:rFonts w:ascii="Cambria Math" w:eastAsia="Cambria Math" w:hAnsi="Cambria Math"/>
                              <w:i/>
                              <w:color w:val="000000"/>
                              <w:sz w:val="18"/>
                            </w:rPr>
                          </m:ctrlPr>
                        </m:sSubPr>
                        <m:e>
                          <m:r>
                            <w:rPr>
                              <w:rFonts w:ascii="Cambria Math" w:eastAsia="Cambria Math" w:hAnsi="Cambria Math"/>
                              <w:color w:val="000000"/>
                              <w:sz w:val="18"/>
                            </w:rPr>
                            <m:t>g</m:t>
                          </m:r>
                        </m:e>
                        <m:sub>
                          <m:r>
                            <w:rPr>
                              <w:rFonts w:ascii="Cambria Math" w:eastAsia="Cambria Math" w:hAnsi="Cambria Math"/>
                              <w:color w:val="000000"/>
                              <w:sz w:val="18"/>
                            </w:rPr>
                            <m:t>r</m:t>
                          </m:r>
                        </m:sub>
                      </m:sSub>
                    </m:sup>
                  </m:sSup>
                  <m:r>
                    <w:rPr>
                      <w:rFonts w:ascii="Cambria Math" w:eastAsia="Cambria Math" w:hAnsi="Cambria Math"/>
                      <w:color w:val="000000"/>
                      <w:sz w:val="18"/>
                    </w:rPr>
                    <m:t>-1</m:t>
                  </m:r>
                </m:e>
              </m:d>
            </m:sup>
            <m:e/>
          </m:nary>
          <m:func>
            <m:funcPr>
              <m:ctrlPr>
                <w:rPr>
                  <w:rFonts w:ascii="Cambria Math" w:eastAsia="Cambria Math" w:hAnsi="Cambria Math"/>
                  <w:i/>
                  <w:color w:val="000000"/>
                  <w:sz w:val="18"/>
                </w:rPr>
              </m:ctrlPr>
            </m:funcPr>
            <m:fName>
              <m:sSub>
                <m:sSubPr>
                  <m:ctrlPr>
                    <w:rPr>
                      <w:rFonts w:ascii="Cambria Math" w:eastAsia="Cambria Math" w:hAnsi="Cambria Math"/>
                      <w:i/>
                      <w:color w:val="000000"/>
                      <w:sz w:val="18"/>
                    </w:rPr>
                  </m:ctrlPr>
                </m:sSubPr>
                <m:e>
                  <m:r>
                    <m:rPr>
                      <m:sty m:val="p"/>
                    </m:rPr>
                    <w:rPr>
                      <w:rFonts w:ascii="Cambria Math" w:eastAsia="Cambria Math" w:hAnsi="Cambria Math"/>
                      <w:color w:val="000000"/>
                      <w:sz w:val="18"/>
                    </w:rPr>
                    <m:t>log</m:t>
                  </m:r>
                </m:e>
                <m:sub>
                  <m:r>
                    <w:rPr>
                      <w:rFonts w:ascii="Cambria Math" w:eastAsia="Cambria Math" w:hAnsi="Cambria Math"/>
                      <w:color w:val="000000"/>
                      <w:sz w:val="18"/>
                    </w:rPr>
                    <m:t>2</m:t>
                  </m:r>
                  <m:d>
                    <m:dPr>
                      <m:ctrlPr>
                        <w:rPr>
                          <w:rFonts w:ascii="Cambria Math" w:eastAsia="Cambria Math" w:hAnsi="Cambria Math"/>
                          <w:i/>
                          <w:color w:val="000000"/>
                          <w:sz w:val="18"/>
                        </w:rPr>
                      </m:ctrlPr>
                    </m:dPr>
                    <m:e>
                      <m:r>
                        <w:rPr>
                          <w:rFonts w:ascii="Cambria Math" w:eastAsia="Cambria Math" w:hAnsi="Cambria Math"/>
                          <w:color w:val="000000"/>
                          <w:sz w:val="18"/>
                        </w:rPr>
                        <m:t>r+1</m:t>
                      </m:r>
                    </m:e>
                  </m:d>
                  <m:ctrlPr>
                    <w:rPr>
                      <w:rFonts w:ascii="Cambria Math" w:eastAsia="Cambria Math" w:hAnsi="Cambria Math"/>
                      <w:color w:val="000000"/>
                      <w:sz w:val="18"/>
                    </w:rPr>
                  </m:ctrlPr>
                </m:sub>
              </m:sSub>
            </m:fName>
            <m:e/>
          </m:func>
          <m:r>
            <w:rPr>
              <w:rFonts w:ascii="Cambria Math" w:eastAsia="Cambria Math" w:hAnsi="Cambria Math"/>
              <w:color w:val="000000"/>
              <w:sz w:val="18"/>
            </w:rPr>
            <m:t>)</m:t>
          </m:r>
        </m:oMath>
      </m:oMathPara>
    </w:p>
    <w:p w14:paraId="0584E6FE" w14:textId="77777777" w:rsidR="00E921BC" w:rsidRDefault="00DD34C6">
      <w:pPr>
        <w:pStyle w:val="ICESTNormal"/>
        <w:keepNext/>
        <w:spacing w:after="20" w:line="192" w:lineRule="auto"/>
        <w:ind w:firstLine="0"/>
        <w:jc w:val="right"/>
      </w:pPr>
      <w:r>
        <w:rPr>
          <w:color w:val="000000"/>
          <w:sz w:val="16"/>
        </w:rPr>
        <w:t>(26)</w:t>
      </w:r>
    </w:p>
    <w:p w14:paraId="569E563E" w14:textId="77777777" w:rsidR="00E921BC" w:rsidRDefault="00DD34C6">
      <w:pPr>
        <w:pStyle w:val="ICESTNormal"/>
        <w:spacing w:after="40"/>
        <w:ind w:firstLine="0"/>
      </w:pPr>
      <w:r>
        <w:rPr>
          <w:i/>
          <w:color w:val="000000"/>
          <w:sz w:val="18"/>
        </w:rPr>
        <w:t xml:space="preserve">DCG uses graded relevance </w:t>
      </w:r>
      <w:r>
        <w:rPr>
          <w:rFonts w:ascii="Cambria Math" w:eastAsia="Cambria Math" w:hAnsi="Cambria Math"/>
          <w:i/>
          <w:color w:val="000000"/>
          <w:sz w:val="18"/>
        </w:rPr>
        <w:t>g</w:t>
      </w:r>
      <w:r>
        <w:rPr>
          <w:rFonts w:ascii="Cambria Math" w:eastAsia="Cambria Math" w:hAnsi="Cambria Math"/>
          <w:i/>
          <w:color w:val="000000"/>
          <w:sz w:val="18"/>
          <w:vertAlign w:val="subscript"/>
        </w:rPr>
        <w:t>r</w:t>
      </w:r>
      <w:r>
        <w:rPr>
          <w:i/>
          <w:color w:val="000000"/>
          <w:sz w:val="18"/>
        </w:rPr>
        <w:t>, so a highly supported course at an early rank contributes more.</w:t>
      </w:r>
    </w:p>
    <w:p w14:paraId="135F7CAA" w14:textId="4A8F7E86" w:rsidR="00E921BC" w:rsidRDefault="00DD34C6">
      <w:pPr>
        <w:pStyle w:val="ICESTNormal"/>
        <w:keepNext/>
        <w:spacing w:before="60"/>
        <w:ind w:firstLine="0"/>
        <w:jc w:val="center"/>
      </w:pPr>
      <m:oMathPara>
        <m:oMath>
          <m:r>
            <w:rPr>
              <w:rFonts w:ascii="Cambria Math" w:eastAsia="Cambria Math" w:hAnsi="Cambria Math"/>
              <w:color w:val="000000"/>
              <w:sz w:val="18"/>
            </w:rPr>
            <m:t>nDCG@K=DCG@</m:t>
          </m:r>
          <m:f>
            <m:fPr>
              <m:ctrlPr>
                <w:rPr>
                  <w:rFonts w:ascii="Cambria Math" w:eastAsia="Cambria Math" w:hAnsi="Cambria Math"/>
                  <w:i/>
                  <w:color w:val="000000"/>
                  <w:sz w:val="18"/>
                </w:rPr>
              </m:ctrlPr>
            </m:fPr>
            <m:num>
              <m:r>
                <w:rPr>
                  <w:rFonts w:ascii="Cambria Math" w:eastAsia="Cambria Math" w:hAnsi="Cambria Math"/>
                  <w:color w:val="000000"/>
                  <w:sz w:val="18"/>
                </w:rPr>
                <m:t>K</m:t>
              </m:r>
            </m:num>
            <m:den>
              <m:r>
                <w:rPr>
                  <w:rFonts w:ascii="Cambria Math" w:eastAsia="Cambria Math" w:hAnsi="Cambria Math"/>
                  <w:color w:val="000000"/>
                  <w:sz w:val="18"/>
                </w:rPr>
                <m:t>IDCG</m:t>
              </m:r>
            </m:den>
          </m:f>
          <m:r>
            <w:rPr>
              <w:rFonts w:ascii="Cambria Math" w:eastAsia="Cambria Math" w:hAnsi="Cambria Math"/>
              <w:color w:val="000000"/>
              <w:sz w:val="18"/>
            </w:rPr>
            <m:t>@K</m:t>
          </m:r>
        </m:oMath>
      </m:oMathPara>
    </w:p>
    <w:p w14:paraId="513E4E10" w14:textId="77777777" w:rsidR="00E921BC" w:rsidRDefault="00DD34C6">
      <w:pPr>
        <w:pStyle w:val="ICESTNormal"/>
        <w:keepNext/>
        <w:spacing w:after="20" w:line="192" w:lineRule="auto"/>
        <w:ind w:firstLine="0"/>
        <w:jc w:val="right"/>
      </w:pPr>
      <w:r>
        <w:rPr>
          <w:color w:val="000000"/>
          <w:sz w:val="16"/>
        </w:rPr>
        <w:t>(27)</w:t>
      </w:r>
    </w:p>
    <w:p w14:paraId="5E45A084" w14:textId="77777777" w:rsidR="00E921BC" w:rsidRDefault="00DD34C6">
      <w:pPr>
        <w:pStyle w:val="ICESTNormal"/>
        <w:spacing w:after="40"/>
        <w:ind w:firstLine="0"/>
      </w:pPr>
      <w:r>
        <w:rPr>
          <w:i/>
          <w:color w:val="000000"/>
          <w:sz w:val="18"/>
        </w:rPr>
        <w:t xml:space="preserve">nDCG divides the observed gain by the ideal ordering and </w:t>
      </w:r>
      <w:r>
        <w:rPr>
          <w:i/>
          <w:color w:val="000000"/>
          <w:sz w:val="18"/>
        </w:rPr>
        <w:t>therefore lies between zero and one.</w:t>
      </w:r>
    </w:p>
    <w:p w14:paraId="302BC697" w14:textId="438F155E" w:rsidR="00E921BC" w:rsidRDefault="00DD34C6">
      <w:pPr>
        <w:pStyle w:val="ICESTNormal"/>
        <w:keepNext/>
        <w:spacing w:before="60"/>
        <w:ind w:firstLine="0"/>
        <w:jc w:val="center"/>
      </w:pPr>
      <m:oMathPara>
        <m:oMath>
          <m:r>
            <w:rPr>
              <w:rFonts w:ascii="Cambria Math" w:eastAsia="Cambria Math" w:hAnsi="Cambria Math"/>
              <w:color w:val="000000"/>
              <w:sz w:val="18"/>
            </w:rPr>
            <m:t>D</m:t>
          </m:r>
          <m:d>
            <m:dPr>
              <m:ctrlPr>
                <w:rPr>
                  <w:rFonts w:ascii="Cambria Math" w:eastAsia="Cambria Math" w:hAnsi="Cambria Math"/>
                  <w:i/>
                  <w:color w:val="000000"/>
                  <w:sz w:val="18"/>
                </w:rPr>
              </m:ctrlPr>
            </m:dPr>
            <m:e>
              <m:r>
                <w:rPr>
                  <w:rFonts w:ascii="Cambria Math" w:eastAsia="Cambria Math" w:hAnsi="Cambria Math"/>
                  <w:color w:val="000000"/>
                  <w:sz w:val="18"/>
                </w:rPr>
                <m:t>A,B</m:t>
              </m:r>
            </m:e>
          </m:d>
          <m:r>
            <w:rPr>
              <w:rFonts w:ascii="Cambria Math" w:eastAsia="Cambria Math" w:hAnsi="Cambria Math"/>
              <w:color w:val="000000"/>
              <w:sz w:val="18"/>
            </w:rPr>
            <m:t>=1-</m:t>
          </m:r>
          <m:f>
            <m:fPr>
              <m:ctrlPr>
                <w:rPr>
                  <w:rFonts w:ascii="Cambria Math" w:eastAsia="Cambria Math" w:hAnsi="Cambria Math"/>
                  <w:i/>
                  <w:color w:val="000000"/>
                  <w:sz w:val="18"/>
                </w:rPr>
              </m:ctrlPr>
            </m:fPr>
            <m:num>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A∩B</m:t>
                  </m:r>
                </m:e>
              </m:d>
            </m:num>
            <m:den>
              <m:d>
                <m:dPr>
                  <m:begChr m:val="|"/>
                  <m:endChr m:val="|"/>
                  <m:ctrlPr>
                    <w:rPr>
                      <w:rFonts w:ascii="Cambria Math" w:eastAsia="Cambria Math" w:hAnsi="Cambria Math"/>
                      <w:i/>
                      <w:color w:val="000000"/>
                      <w:sz w:val="18"/>
                    </w:rPr>
                  </m:ctrlPr>
                </m:dPr>
                <m:e>
                  <m:r>
                    <w:rPr>
                      <w:rFonts w:ascii="Cambria Math" w:eastAsia="Cambria Math" w:hAnsi="Cambria Math"/>
                      <w:color w:val="000000"/>
                      <w:sz w:val="18"/>
                    </w:rPr>
                    <m:t>A∪B</m:t>
                  </m:r>
                </m:e>
              </m:d>
            </m:den>
          </m:f>
        </m:oMath>
      </m:oMathPara>
    </w:p>
    <w:p w14:paraId="1A6E5225" w14:textId="77777777" w:rsidR="00E921BC" w:rsidRDefault="00DD34C6">
      <w:pPr>
        <w:pStyle w:val="ICESTNormal"/>
        <w:keepNext/>
        <w:spacing w:after="20" w:line="192" w:lineRule="auto"/>
        <w:ind w:firstLine="0"/>
        <w:jc w:val="right"/>
      </w:pPr>
      <w:r>
        <w:rPr>
          <w:color w:val="000000"/>
          <w:sz w:val="16"/>
        </w:rPr>
        <w:t>(28)</w:t>
      </w:r>
    </w:p>
    <w:p w14:paraId="15520D44" w14:textId="77777777" w:rsidR="00E921BC" w:rsidRDefault="00DD34C6">
      <w:pPr>
        <w:pStyle w:val="ICESTNormal"/>
        <w:spacing w:after="40"/>
        <w:ind w:firstLine="0"/>
      </w:pPr>
      <w:r>
        <w:rPr>
          <w:i/>
          <w:color w:val="000000"/>
          <w:sz w:val="18"/>
        </w:rPr>
        <w:t>Pairwise Jaccard distance D(A,B) checks that curriculum alternatives are not identical lists with different labels.</w:t>
      </w:r>
    </w:p>
    <w:p w14:paraId="07D3A98C" w14:textId="77777777" w:rsidR="00E921BC" w:rsidRDefault="00DD34C6">
      <w:pPr>
        <w:keepNext/>
        <w:spacing w:before="120" w:after="40"/>
      </w:pPr>
      <w:r>
        <w:rPr>
          <w:rFonts w:ascii="Times New Roman" w:eastAsia="Times New Roman" w:hAnsi="Times New Roman"/>
          <w:b/>
          <w:color w:val="000000"/>
        </w:rPr>
        <w:t>6. Results</w:t>
      </w:r>
    </w:p>
    <w:p w14:paraId="5E1C0A0B" w14:textId="77777777" w:rsidR="00E921BC" w:rsidRDefault="00DD34C6">
      <w:pPr>
        <w:pStyle w:val="ICESTNormal"/>
        <w:ind w:firstLine="283"/>
      </w:pPr>
      <w:r>
        <w:rPr>
          <w:color w:val="000000"/>
          <w:sz w:val="22"/>
        </w:rPr>
        <w:t xml:space="preserve">The base multilingual SBERT achieved ROC-AUC </w:t>
      </w:r>
      <w:r>
        <w:rPr>
          <w:color w:val="000000"/>
          <w:sz w:val="22"/>
        </w:rPr>
        <w:t>0.7031, PR-AUC 0.6946, and F1 0.6886. Fine-tuning on 40,000 EPVO pairs improved these values to 0.7666, 0.7681, and 0.7188. A cached 12k candidate reached 0.7748, 0.7746, and 0.7268 but remains an experimental candidate rather than silently replacing the v</w:t>
      </w:r>
      <w:r>
        <w:rPr>
          <w:color w:val="000000"/>
          <w:sz w:val="22"/>
        </w:rPr>
        <w:t>alidated operational baseline. A separate ranking-loss model achieved Recall@10 0.7071, MRR 0.7815, and nDCG@10 0.6923 on its frozen benchmark.</w:t>
      </w:r>
    </w:p>
    <w:p w14:paraId="74BA2BF3" w14:textId="77777777" w:rsidR="00E921BC" w:rsidRDefault="00DD34C6">
      <w:pPr>
        <w:pStyle w:val="ICESTNormal"/>
        <w:ind w:firstLine="283"/>
      </w:pPr>
      <w:r>
        <w:rPr>
          <w:color w:val="000000"/>
          <w:sz w:val="22"/>
        </w:rPr>
        <w:t>A second controlled retrieval experiment combined SBERT with global and programme-scoped expert memory. On its i</w:t>
      </w:r>
      <w:r>
        <w:rPr>
          <w:color w:val="000000"/>
          <w:sz w:val="22"/>
        </w:rPr>
        <w:t>ndependent clean-v2 split, Recall@10 increased from 0.5348 to 0.5657, Recall@20 from 0.7476 to 0.7580, MRR from 0.2898 to 0.3740, and nDCG@10 from 0.3163 to 0.3735. The same result was preserved when the memory limit increased from 64 to 128 candidates, pr</w:t>
      </w:r>
      <w:r>
        <w:rPr>
          <w:color w:val="000000"/>
          <w:sz w:val="22"/>
        </w:rPr>
        <w:t>oviding an initial robustness check. The production model was not changed by this experiment.</w:t>
      </w:r>
    </w:p>
    <w:p w14:paraId="2534EEF5" w14:textId="77777777" w:rsidR="00E921BC" w:rsidRDefault="00DD34C6">
      <w:pPr>
        <w:pStyle w:val="ICESTNormal"/>
        <w:ind w:firstLine="283"/>
      </w:pPr>
      <w:r>
        <w:rPr>
          <w:color w:val="000000"/>
          <w:sz w:val="22"/>
        </w:rPr>
        <w:t xml:space="preserve">The cohort comparison shows that plans in international mode achieved 86.84% semantic-adjusted semester alignment, whereas plans following Kazakhstan's protected </w:t>
      </w:r>
      <w:r>
        <w:rPr>
          <w:color w:val="000000"/>
          <w:sz w:val="22"/>
        </w:rPr>
        <w:t>requirements achieved 81.23%. The 5.61 percentage-point difference is attributed to lower scheduling freedom: the local-regulation cohort contains 35 protected components across three plans. The raw semester gap is larger, 13.75 points, but falls to 5.61 p</w:t>
      </w:r>
      <w:r>
        <w:rPr>
          <w:color w:val="000000"/>
          <w:sz w:val="22"/>
        </w:rPr>
        <w:t>oints after prerequisite and pedagogical adjustments. Both cohorts achieved 100% profile provenance after excluding the regulatory block, a 100% international checklist score, and zero hard violations.</w:t>
      </w:r>
    </w:p>
    <w:p w14:paraId="7ABFF335" w14:textId="77777777" w:rsidR="00E921BC" w:rsidRDefault="00DD34C6">
      <w:pPr>
        <w:pStyle w:val="ICESTNormal"/>
        <w:ind w:firstLine="283"/>
      </w:pPr>
      <w:r>
        <w:rPr>
          <w:color w:val="000000"/>
          <w:sz w:val="22"/>
        </w:rPr>
        <w:t>Fresh aggregation across all six eligible programmes p</w:t>
      </w:r>
      <w:r>
        <w:rPr>
          <w:color w:val="000000"/>
          <w:sz w:val="22"/>
        </w:rPr>
        <w:t>roduced raw semester agreement of 76.82%, prerequisite-adjusted agreement of 80.42%, and semantic-adjusted agreement of 84.03%. The constrained feasibility indicator is retained as a separate diagnostic and does not replace these historical-agreement metri</w:t>
      </w:r>
      <w:r>
        <w:rPr>
          <w:color w:val="000000"/>
          <w:sz w:val="22"/>
        </w:rPr>
        <w:t>cs. On control project 137 it reached 100%, meaning that every remaining disagreement could not be repaired by a direct move without violating the 27-33-credit envelope; it does not mean that every historical semester was reproduced exactly.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43"/>
        <w:gridCol w:w="861"/>
        <w:gridCol w:w="861"/>
        <w:gridCol w:w="861"/>
        <w:gridCol w:w="1185"/>
      </w:tblGrid>
      <w:tr w:rsidR="00E921BC" w14:paraId="41AB5EA7" w14:textId="77777777">
        <w:trPr>
          <w:tblHeader/>
          <w:jc w:val="center"/>
        </w:trPr>
        <w:tc>
          <w:tcPr>
            <w:tcW w:w="1949" w:type="dxa"/>
            <w:shd w:val="clear" w:color="auto" w:fill="D9EAF7"/>
            <w:tcMar>
              <w:top w:w="70" w:type="dxa"/>
              <w:left w:w="90" w:type="dxa"/>
              <w:bottom w:w="70" w:type="dxa"/>
              <w:right w:w="90" w:type="dxa"/>
            </w:tcMar>
            <w:vAlign w:val="center"/>
          </w:tcPr>
          <w:p w14:paraId="30E24006" w14:textId="77777777" w:rsidR="00E921BC" w:rsidRDefault="00DD34C6">
            <w:pPr>
              <w:jc w:val="center"/>
            </w:pPr>
            <w:r>
              <w:rPr>
                <w:rFonts w:ascii="Times New Roman" w:eastAsia="Times New Roman" w:hAnsi="Times New Roman"/>
                <w:b/>
                <w:color w:val="000000"/>
                <w:sz w:val="16"/>
              </w:rPr>
              <w:t>Model</w:t>
            </w:r>
          </w:p>
        </w:tc>
        <w:tc>
          <w:tcPr>
            <w:tcW w:w="1949" w:type="dxa"/>
            <w:shd w:val="clear" w:color="auto" w:fill="D9EAF7"/>
            <w:tcMar>
              <w:top w:w="70" w:type="dxa"/>
              <w:left w:w="90" w:type="dxa"/>
              <w:bottom w:w="70" w:type="dxa"/>
              <w:right w:w="90" w:type="dxa"/>
            </w:tcMar>
            <w:vAlign w:val="center"/>
          </w:tcPr>
          <w:p w14:paraId="72BF051C" w14:textId="77777777" w:rsidR="00E921BC" w:rsidRDefault="00DD34C6">
            <w:pPr>
              <w:jc w:val="center"/>
            </w:pPr>
            <w:r>
              <w:rPr>
                <w:rFonts w:ascii="Times New Roman" w:eastAsia="Times New Roman" w:hAnsi="Times New Roman"/>
                <w:b/>
                <w:color w:val="000000"/>
                <w:sz w:val="16"/>
              </w:rPr>
              <w:t>ROC-AUC</w:t>
            </w:r>
          </w:p>
        </w:tc>
        <w:tc>
          <w:tcPr>
            <w:tcW w:w="1949" w:type="dxa"/>
            <w:shd w:val="clear" w:color="auto" w:fill="D9EAF7"/>
            <w:tcMar>
              <w:top w:w="70" w:type="dxa"/>
              <w:left w:w="90" w:type="dxa"/>
              <w:bottom w:w="70" w:type="dxa"/>
              <w:right w:w="90" w:type="dxa"/>
            </w:tcMar>
            <w:vAlign w:val="center"/>
          </w:tcPr>
          <w:p w14:paraId="253408B2" w14:textId="77777777" w:rsidR="00E921BC" w:rsidRDefault="00DD34C6">
            <w:pPr>
              <w:jc w:val="center"/>
            </w:pPr>
            <w:r>
              <w:rPr>
                <w:rFonts w:ascii="Times New Roman" w:eastAsia="Times New Roman" w:hAnsi="Times New Roman"/>
                <w:b/>
                <w:color w:val="000000"/>
                <w:sz w:val="16"/>
              </w:rPr>
              <w:t>PR-AUC</w:t>
            </w:r>
          </w:p>
        </w:tc>
        <w:tc>
          <w:tcPr>
            <w:tcW w:w="1949" w:type="dxa"/>
            <w:shd w:val="clear" w:color="auto" w:fill="D9EAF7"/>
            <w:tcMar>
              <w:top w:w="70" w:type="dxa"/>
              <w:left w:w="90" w:type="dxa"/>
              <w:bottom w:w="70" w:type="dxa"/>
              <w:right w:w="90" w:type="dxa"/>
            </w:tcMar>
            <w:vAlign w:val="center"/>
          </w:tcPr>
          <w:p w14:paraId="583E6283" w14:textId="77777777" w:rsidR="00E921BC" w:rsidRDefault="00DD34C6">
            <w:pPr>
              <w:jc w:val="center"/>
            </w:pPr>
            <w:r>
              <w:rPr>
                <w:rFonts w:ascii="Times New Roman" w:eastAsia="Times New Roman" w:hAnsi="Times New Roman"/>
                <w:b/>
                <w:color w:val="000000"/>
                <w:sz w:val="16"/>
              </w:rPr>
              <w:t>F1</w:t>
            </w:r>
          </w:p>
        </w:tc>
        <w:tc>
          <w:tcPr>
            <w:tcW w:w="1949" w:type="dxa"/>
            <w:shd w:val="clear" w:color="auto" w:fill="D9EAF7"/>
            <w:tcMar>
              <w:top w:w="70" w:type="dxa"/>
              <w:left w:w="90" w:type="dxa"/>
              <w:bottom w:w="70" w:type="dxa"/>
              <w:right w:w="90" w:type="dxa"/>
            </w:tcMar>
            <w:vAlign w:val="center"/>
          </w:tcPr>
          <w:p w14:paraId="6C56313A" w14:textId="77777777" w:rsidR="00E921BC" w:rsidRDefault="00DD34C6">
            <w:pPr>
              <w:jc w:val="center"/>
            </w:pPr>
            <w:r>
              <w:rPr>
                <w:rFonts w:ascii="Times New Roman" w:eastAsia="Times New Roman" w:hAnsi="Times New Roman"/>
                <w:b/>
                <w:color w:val="000000"/>
                <w:sz w:val="16"/>
              </w:rPr>
              <w:t>Status</w:t>
            </w:r>
          </w:p>
        </w:tc>
      </w:tr>
      <w:tr w:rsidR="00E921BC" w14:paraId="32C07E8D" w14:textId="77777777">
        <w:trPr>
          <w:jc w:val="center"/>
        </w:trPr>
        <w:tc>
          <w:tcPr>
            <w:tcW w:w="1949" w:type="dxa"/>
            <w:tcMar>
              <w:top w:w="70" w:type="dxa"/>
              <w:left w:w="90" w:type="dxa"/>
              <w:bottom w:w="70" w:type="dxa"/>
              <w:right w:w="90" w:type="dxa"/>
            </w:tcMar>
            <w:vAlign w:val="center"/>
          </w:tcPr>
          <w:p w14:paraId="665B0BC0" w14:textId="77777777" w:rsidR="00E921BC" w:rsidRDefault="00DD34C6">
            <w:r>
              <w:rPr>
                <w:rFonts w:ascii="Times New Roman" w:eastAsia="Times New Roman" w:hAnsi="Times New Roman"/>
                <w:color w:val="000000"/>
                <w:sz w:val="16"/>
              </w:rPr>
              <w:t>Base multilingual SBERT</w:t>
            </w:r>
          </w:p>
        </w:tc>
        <w:tc>
          <w:tcPr>
            <w:tcW w:w="1949" w:type="dxa"/>
            <w:tcMar>
              <w:top w:w="70" w:type="dxa"/>
              <w:left w:w="90" w:type="dxa"/>
              <w:bottom w:w="70" w:type="dxa"/>
              <w:right w:w="90" w:type="dxa"/>
            </w:tcMar>
            <w:vAlign w:val="center"/>
          </w:tcPr>
          <w:p w14:paraId="4DDEB1D8" w14:textId="77777777" w:rsidR="00E921BC" w:rsidRDefault="00DD34C6">
            <w:pPr>
              <w:jc w:val="center"/>
            </w:pPr>
            <w:r>
              <w:rPr>
                <w:rFonts w:ascii="Times New Roman" w:eastAsia="Times New Roman" w:hAnsi="Times New Roman"/>
                <w:color w:val="000000"/>
                <w:sz w:val="16"/>
              </w:rPr>
              <w:t>0.7031</w:t>
            </w:r>
          </w:p>
        </w:tc>
        <w:tc>
          <w:tcPr>
            <w:tcW w:w="1949" w:type="dxa"/>
            <w:tcMar>
              <w:top w:w="70" w:type="dxa"/>
              <w:left w:w="90" w:type="dxa"/>
              <w:bottom w:w="70" w:type="dxa"/>
              <w:right w:w="90" w:type="dxa"/>
            </w:tcMar>
            <w:vAlign w:val="center"/>
          </w:tcPr>
          <w:p w14:paraId="7359974A" w14:textId="77777777" w:rsidR="00E921BC" w:rsidRDefault="00DD34C6">
            <w:pPr>
              <w:jc w:val="center"/>
            </w:pPr>
            <w:r>
              <w:rPr>
                <w:rFonts w:ascii="Times New Roman" w:eastAsia="Times New Roman" w:hAnsi="Times New Roman"/>
                <w:color w:val="000000"/>
                <w:sz w:val="16"/>
              </w:rPr>
              <w:t>0.6946</w:t>
            </w:r>
          </w:p>
        </w:tc>
        <w:tc>
          <w:tcPr>
            <w:tcW w:w="1949" w:type="dxa"/>
            <w:tcMar>
              <w:top w:w="70" w:type="dxa"/>
              <w:left w:w="90" w:type="dxa"/>
              <w:bottom w:w="70" w:type="dxa"/>
              <w:right w:w="90" w:type="dxa"/>
            </w:tcMar>
            <w:vAlign w:val="center"/>
          </w:tcPr>
          <w:p w14:paraId="4F0DDA55" w14:textId="77777777" w:rsidR="00E921BC" w:rsidRDefault="00DD34C6">
            <w:pPr>
              <w:jc w:val="center"/>
            </w:pPr>
            <w:r>
              <w:rPr>
                <w:rFonts w:ascii="Times New Roman" w:eastAsia="Times New Roman" w:hAnsi="Times New Roman"/>
                <w:color w:val="000000"/>
                <w:sz w:val="16"/>
              </w:rPr>
              <w:t>0.6886</w:t>
            </w:r>
          </w:p>
        </w:tc>
        <w:tc>
          <w:tcPr>
            <w:tcW w:w="1949" w:type="dxa"/>
            <w:tcMar>
              <w:top w:w="70" w:type="dxa"/>
              <w:left w:w="90" w:type="dxa"/>
              <w:bottom w:w="70" w:type="dxa"/>
              <w:right w:w="90" w:type="dxa"/>
            </w:tcMar>
            <w:vAlign w:val="center"/>
          </w:tcPr>
          <w:p w14:paraId="617DD0CF" w14:textId="77777777" w:rsidR="00E921BC" w:rsidRDefault="00DD34C6">
            <w:pPr>
              <w:jc w:val="center"/>
            </w:pPr>
            <w:r>
              <w:rPr>
                <w:rFonts w:ascii="Times New Roman" w:eastAsia="Times New Roman" w:hAnsi="Times New Roman"/>
                <w:color w:val="000000"/>
                <w:sz w:val="16"/>
              </w:rPr>
              <w:t>-</w:t>
            </w:r>
          </w:p>
        </w:tc>
      </w:tr>
      <w:tr w:rsidR="00E921BC" w14:paraId="1715CA17" w14:textId="77777777">
        <w:trPr>
          <w:jc w:val="center"/>
        </w:trPr>
        <w:tc>
          <w:tcPr>
            <w:tcW w:w="1949" w:type="dxa"/>
            <w:tcMar>
              <w:top w:w="70" w:type="dxa"/>
              <w:left w:w="90" w:type="dxa"/>
              <w:bottom w:w="70" w:type="dxa"/>
              <w:right w:w="90" w:type="dxa"/>
            </w:tcMar>
            <w:vAlign w:val="center"/>
          </w:tcPr>
          <w:p w14:paraId="1DC3A989" w14:textId="77777777" w:rsidR="00E921BC" w:rsidRDefault="00DD34C6">
            <w:r>
              <w:rPr>
                <w:rFonts w:ascii="Times New Roman" w:eastAsia="Times New Roman" w:hAnsi="Times New Roman"/>
                <w:color w:val="000000"/>
                <w:sz w:val="16"/>
              </w:rPr>
              <w:t>Fine-tuned SBERT 40k</w:t>
            </w:r>
          </w:p>
        </w:tc>
        <w:tc>
          <w:tcPr>
            <w:tcW w:w="1949" w:type="dxa"/>
            <w:tcMar>
              <w:top w:w="70" w:type="dxa"/>
              <w:left w:w="90" w:type="dxa"/>
              <w:bottom w:w="70" w:type="dxa"/>
              <w:right w:w="90" w:type="dxa"/>
            </w:tcMar>
            <w:vAlign w:val="center"/>
          </w:tcPr>
          <w:p w14:paraId="764BBD17" w14:textId="77777777" w:rsidR="00E921BC" w:rsidRDefault="00DD34C6">
            <w:pPr>
              <w:jc w:val="center"/>
            </w:pPr>
            <w:r>
              <w:rPr>
                <w:rFonts w:ascii="Times New Roman" w:eastAsia="Times New Roman" w:hAnsi="Times New Roman"/>
                <w:color w:val="000000"/>
                <w:sz w:val="16"/>
              </w:rPr>
              <w:t>0.7666</w:t>
            </w:r>
          </w:p>
        </w:tc>
        <w:tc>
          <w:tcPr>
            <w:tcW w:w="1949" w:type="dxa"/>
            <w:tcMar>
              <w:top w:w="70" w:type="dxa"/>
              <w:left w:w="90" w:type="dxa"/>
              <w:bottom w:w="70" w:type="dxa"/>
              <w:right w:w="90" w:type="dxa"/>
            </w:tcMar>
            <w:vAlign w:val="center"/>
          </w:tcPr>
          <w:p w14:paraId="52A210C4" w14:textId="77777777" w:rsidR="00E921BC" w:rsidRDefault="00DD34C6">
            <w:pPr>
              <w:jc w:val="center"/>
            </w:pPr>
            <w:r>
              <w:rPr>
                <w:rFonts w:ascii="Times New Roman" w:eastAsia="Times New Roman" w:hAnsi="Times New Roman"/>
                <w:color w:val="000000"/>
                <w:sz w:val="16"/>
              </w:rPr>
              <w:t>0.7681</w:t>
            </w:r>
          </w:p>
        </w:tc>
        <w:tc>
          <w:tcPr>
            <w:tcW w:w="1949" w:type="dxa"/>
            <w:tcMar>
              <w:top w:w="70" w:type="dxa"/>
              <w:left w:w="90" w:type="dxa"/>
              <w:bottom w:w="70" w:type="dxa"/>
              <w:right w:w="90" w:type="dxa"/>
            </w:tcMar>
            <w:vAlign w:val="center"/>
          </w:tcPr>
          <w:p w14:paraId="2E6A2152" w14:textId="77777777" w:rsidR="00E921BC" w:rsidRDefault="00DD34C6">
            <w:pPr>
              <w:jc w:val="center"/>
            </w:pPr>
            <w:r>
              <w:rPr>
                <w:rFonts w:ascii="Times New Roman" w:eastAsia="Times New Roman" w:hAnsi="Times New Roman"/>
                <w:color w:val="000000"/>
                <w:sz w:val="16"/>
              </w:rPr>
              <w:t>0.7188</w:t>
            </w:r>
          </w:p>
        </w:tc>
        <w:tc>
          <w:tcPr>
            <w:tcW w:w="1949" w:type="dxa"/>
            <w:tcMar>
              <w:top w:w="70" w:type="dxa"/>
              <w:left w:w="90" w:type="dxa"/>
              <w:bottom w:w="70" w:type="dxa"/>
              <w:right w:w="90" w:type="dxa"/>
            </w:tcMar>
            <w:vAlign w:val="center"/>
          </w:tcPr>
          <w:p w14:paraId="388D12C4" w14:textId="77777777" w:rsidR="00E921BC" w:rsidRDefault="00DD34C6">
            <w:pPr>
              <w:jc w:val="center"/>
            </w:pPr>
            <w:r>
              <w:rPr>
                <w:rFonts w:ascii="Times New Roman" w:eastAsia="Times New Roman" w:hAnsi="Times New Roman"/>
                <w:color w:val="000000"/>
                <w:sz w:val="16"/>
              </w:rPr>
              <w:t>operational</w:t>
            </w:r>
          </w:p>
        </w:tc>
      </w:tr>
      <w:tr w:rsidR="00E921BC" w14:paraId="65C192D6" w14:textId="77777777">
        <w:trPr>
          <w:jc w:val="center"/>
        </w:trPr>
        <w:tc>
          <w:tcPr>
            <w:tcW w:w="1949" w:type="dxa"/>
            <w:tcMar>
              <w:top w:w="70" w:type="dxa"/>
              <w:left w:w="90" w:type="dxa"/>
              <w:bottom w:w="70" w:type="dxa"/>
              <w:right w:w="90" w:type="dxa"/>
            </w:tcMar>
            <w:vAlign w:val="center"/>
          </w:tcPr>
          <w:p w14:paraId="39F68283" w14:textId="77777777" w:rsidR="00E921BC" w:rsidRDefault="00DD34C6">
            <w:r>
              <w:rPr>
                <w:rFonts w:ascii="Times New Roman" w:eastAsia="Times New Roman" w:hAnsi="Times New Roman"/>
                <w:color w:val="000000"/>
                <w:sz w:val="16"/>
              </w:rPr>
              <w:t>Cached candidate 12k</w:t>
            </w:r>
          </w:p>
        </w:tc>
        <w:tc>
          <w:tcPr>
            <w:tcW w:w="1949" w:type="dxa"/>
            <w:tcMar>
              <w:top w:w="70" w:type="dxa"/>
              <w:left w:w="90" w:type="dxa"/>
              <w:bottom w:w="70" w:type="dxa"/>
              <w:right w:w="90" w:type="dxa"/>
            </w:tcMar>
            <w:vAlign w:val="center"/>
          </w:tcPr>
          <w:p w14:paraId="40F9B13C" w14:textId="77777777" w:rsidR="00E921BC" w:rsidRDefault="00DD34C6">
            <w:pPr>
              <w:jc w:val="center"/>
            </w:pPr>
            <w:r>
              <w:rPr>
                <w:rFonts w:ascii="Times New Roman" w:eastAsia="Times New Roman" w:hAnsi="Times New Roman"/>
                <w:color w:val="000000"/>
                <w:sz w:val="16"/>
              </w:rPr>
              <w:t>0.7748</w:t>
            </w:r>
          </w:p>
        </w:tc>
        <w:tc>
          <w:tcPr>
            <w:tcW w:w="1949" w:type="dxa"/>
            <w:tcMar>
              <w:top w:w="70" w:type="dxa"/>
              <w:left w:w="90" w:type="dxa"/>
              <w:bottom w:w="70" w:type="dxa"/>
              <w:right w:w="90" w:type="dxa"/>
            </w:tcMar>
            <w:vAlign w:val="center"/>
          </w:tcPr>
          <w:p w14:paraId="461115E0" w14:textId="77777777" w:rsidR="00E921BC" w:rsidRDefault="00DD34C6">
            <w:pPr>
              <w:jc w:val="center"/>
            </w:pPr>
            <w:r>
              <w:rPr>
                <w:rFonts w:ascii="Times New Roman" w:eastAsia="Times New Roman" w:hAnsi="Times New Roman"/>
                <w:color w:val="000000"/>
                <w:sz w:val="16"/>
              </w:rPr>
              <w:t>0.7746</w:t>
            </w:r>
          </w:p>
        </w:tc>
        <w:tc>
          <w:tcPr>
            <w:tcW w:w="1949" w:type="dxa"/>
            <w:tcMar>
              <w:top w:w="70" w:type="dxa"/>
              <w:left w:w="90" w:type="dxa"/>
              <w:bottom w:w="70" w:type="dxa"/>
              <w:right w:w="90" w:type="dxa"/>
            </w:tcMar>
            <w:vAlign w:val="center"/>
          </w:tcPr>
          <w:p w14:paraId="18810C5E" w14:textId="77777777" w:rsidR="00E921BC" w:rsidRDefault="00DD34C6">
            <w:pPr>
              <w:jc w:val="center"/>
            </w:pPr>
            <w:r>
              <w:rPr>
                <w:rFonts w:ascii="Times New Roman" w:eastAsia="Times New Roman" w:hAnsi="Times New Roman"/>
                <w:color w:val="000000"/>
                <w:sz w:val="16"/>
              </w:rPr>
              <w:t>0.7268</w:t>
            </w:r>
          </w:p>
        </w:tc>
        <w:tc>
          <w:tcPr>
            <w:tcW w:w="1949" w:type="dxa"/>
            <w:tcMar>
              <w:top w:w="70" w:type="dxa"/>
              <w:left w:w="90" w:type="dxa"/>
              <w:bottom w:w="70" w:type="dxa"/>
              <w:right w:w="90" w:type="dxa"/>
            </w:tcMar>
            <w:vAlign w:val="center"/>
          </w:tcPr>
          <w:p w14:paraId="29C42B65" w14:textId="77777777" w:rsidR="00E921BC" w:rsidRDefault="00DD34C6">
            <w:pPr>
              <w:jc w:val="center"/>
            </w:pPr>
            <w:r>
              <w:rPr>
                <w:rFonts w:ascii="Times New Roman" w:eastAsia="Times New Roman" w:hAnsi="Times New Roman"/>
                <w:color w:val="000000"/>
                <w:sz w:val="16"/>
              </w:rPr>
              <w:t>experimental</w:t>
            </w:r>
          </w:p>
        </w:tc>
      </w:tr>
    </w:tbl>
    <w:p w14:paraId="4E2B1114" w14:textId="77777777" w:rsidR="00E921BC" w:rsidRDefault="00DD34C6">
      <w:pPr>
        <w:pStyle w:val="ICESTNormal"/>
        <w:ind w:firstLine="0"/>
        <w:jc w:val="center"/>
      </w:pPr>
      <w:r>
        <w:rPr>
          <w:i/>
          <w:color w:val="000000"/>
        </w:rPr>
        <w:t>Table 2. Course-to-learning-outcome classification.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210"/>
        <w:gridCol w:w="1287"/>
        <w:gridCol w:w="1294"/>
        <w:gridCol w:w="1120"/>
      </w:tblGrid>
      <w:tr w:rsidR="00E921BC" w14:paraId="525AA69C" w14:textId="77777777">
        <w:trPr>
          <w:tblHeader/>
          <w:jc w:val="center"/>
        </w:trPr>
        <w:tc>
          <w:tcPr>
            <w:tcW w:w="2437" w:type="dxa"/>
            <w:shd w:val="clear" w:color="auto" w:fill="D9EAF7"/>
            <w:tcMar>
              <w:top w:w="70" w:type="dxa"/>
              <w:left w:w="90" w:type="dxa"/>
              <w:bottom w:w="70" w:type="dxa"/>
              <w:right w:w="90" w:type="dxa"/>
            </w:tcMar>
            <w:vAlign w:val="center"/>
          </w:tcPr>
          <w:p w14:paraId="653B1756" w14:textId="77777777" w:rsidR="00E921BC" w:rsidRDefault="00DD34C6">
            <w:pPr>
              <w:jc w:val="center"/>
            </w:pPr>
            <w:r>
              <w:rPr>
                <w:rFonts w:ascii="Times New Roman" w:eastAsia="Times New Roman" w:hAnsi="Times New Roman"/>
                <w:b/>
                <w:color w:val="000000"/>
                <w:sz w:val="16"/>
              </w:rPr>
              <w:t>Metric</w:t>
            </w:r>
          </w:p>
        </w:tc>
        <w:tc>
          <w:tcPr>
            <w:tcW w:w="2437" w:type="dxa"/>
            <w:shd w:val="clear" w:color="auto" w:fill="D9EAF7"/>
            <w:tcMar>
              <w:top w:w="70" w:type="dxa"/>
              <w:left w:w="90" w:type="dxa"/>
              <w:bottom w:w="70" w:type="dxa"/>
              <w:right w:w="90" w:type="dxa"/>
            </w:tcMar>
            <w:vAlign w:val="center"/>
          </w:tcPr>
          <w:p w14:paraId="26FB2DBD" w14:textId="77777777" w:rsidR="00E921BC" w:rsidRDefault="00DD34C6">
            <w:pPr>
              <w:jc w:val="center"/>
            </w:pPr>
            <w:r>
              <w:rPr>
                <w:rFonts w:ascii="Times New Roman" w:eastAsia="Times New Roman" w:hAnsi="Times New Roman"/>
                <w:b/>
                <w:color w:val="000000"/>
                <w:sz w:val="16"/>
              </w:rPr>
              <w:t>International mode</w:t>
            </w:r>
          </w:p>
        </w:tc>
        <w:tc>
          <w:tcPr>
            <w:tcW w:w="2437" w:type="dxa"/>
            <w:shd w:val="clear" w:color="auto" w:fill="D9EAF7"/>
            <w:tcMar>
              <w:top w:w="70" w:type="dxa"/>
              <w:left w:w="90" w:type="dxa"/>
              <w:bottom w:w="70" w:type="dxa"/>
              <w:right w:w="90" w:type="dxa"/>
            </w:tcMar>
            <w:vAlign w:val="center"/>
          </w:tcPr>
          <w:p w14:paraId="0D1669EE" w14:textId="77777777" w:rsidR="00E921BC" w:rsidRDefault="00DD34C6">
            <w:pPr>
              <w:jc w:val="center"/>
            </w:pPr>
            <w:r>
              <w:rPr>
                <w:rFonts w:ascii="Times New Roman" w:eastAsia="Times New Roman" w:hAnsi="Times New Roman"/>
                <w:b/>
                <w:color w:val="000000"/>
                <w:sz w:val="16"/>
              </w:rPr>
              <w:t>Kazakhstan requirements</w:t>
            </w:r>
          </w:p>
        </w:tc>
        <w:tc>
          <w:tcPr>
            <w:tcW w:w="2437" w:type="dxa"/>
            <w:shd w:val="clear" w:color="auto" w:fill="D9EAF7"/>
            <w:tcMar>
              <w:top w:w="70" w:type="dxa"/>
              <w:left w:w="90" w:type="dxa"/>
              <w:bottom w:w="70" w:type="dxa"/>
              <w:right w:w="90" w:type="dxa"/>
            </w:tcMar>
            <w:vAlign w:val="center"/>
          </w:tcPr>
          <w:p w14:paraId="2FEA80C4" w14:textId="77777777" w:rsidR="00E921BC" w:rsidRDefault="00DD34C6">
            <w:pPr>
              <w:jc w:val="center"/>
            </w:pPr>
            <w:r>
              <w:rPr>
                <w:rFonts w:ascii="Times New Roman" w:eastAsia="Times New Roman" w:hAnsi="Times New Roman"/>
                <w:b/>
                <w:color w:val="000000"/>
                <w:sz w:val="16"/>
              </w:rPr>
              <w:t>Difference</w:t>
            </w:r>
          </w:p>
        </w:tc>
      </w:tr>
      <w:tr w:rsidR="00E921BC" w14:paraId="27B97719" w14:textId="77777777">
        <w:trPr>
          <w:jc w:val="center"/>
        </w:trPr>
        <w:tc>
          <w:tcPr>
            <w:tcW w:w="2437" w:type="dxa"/>
            <w:tcMar>
              <w:top w:w="70" w:type="dxa"/>
              <w:left w:w="90" w:type="dxa"/>
              <w:bottom w:w="70" w:type="dxa"/>
              <w:right w:w="90" w:type="dxa"/>
            </w:tcMar>
            <w:vAlign w:val="center"/>
          </w:tcPr>
          <w:p w14:paraId="7AB68C7B" w14:textId="77777777" w:rsidR="00E921BC" w:rsidRDefault="00DD34C6">
            <w:r>
              <w:rPr>
                <w:rFonts w:ascii="Times New Roman" w:eastAsia="Times New Roman" w:hAnsi="Times New Roman"/>
                <w:color w:val="000000"/>
                <w:sz w:val="16"/>
              </w:rPr>
              <w:t>Programmes</w:t>
            </w:r>
          </w:p>
        </w:tc>
        <w:tc>
          <w:tcPr>
            <w:tcW w:w="2437" w:type="dxa"/>
            <w:tcMar>
              <w:top w:w="70" w:type="dxa"/>
              <w:left w:w="90" w:type="dxa"/>
              <w:bottom w:w="70" w:type="dxa"/>
              <w:right w:w="90" w:type="dxa"/>
            </w:tcMar>
            <w:vAlign w:val="center"/>
          </w:tcPr>
          <w:p w14:paraId="48383468" w14:textId="77777777" w:rsidR="00E921BC" w:rsidRDefault="00DD34C6">
            <w:pPr>
              <w:jc w:val="center"/>
            </w:pPr>
            <w:r>
              <w:rPr>
                <w:rFonts w:ascii="Times New Roman" w:eastAsia="Times New Roman" w:hAnsi="Times New Roman"/>
                <w:color w:val="000000"/>
                <w:sz w:val="16"/>
              </w:rPr>
              <w:t>3</w:t>
            </w:r>
          </w:p>
        </w:tc>
        <w:tc>
          <w:tcPr>
            <w:tcW w:w="2437" w:type="dxa"/>
            <w:tcMar>
              <w:top w:w="70" w:type="dxa"/>
              <w:left w:w="90" w:type="dxa"/>
              <w:bottom w:w="70" w:type="dxa"/>
              <w:right w:w="90" w:type="dxa"/>
            </w:tcMar>
            <w:vAlign w:val="center"/>
          </w:tcPr>
          <w:p w14:paraId="2F3F5F03" w14:textId="77777777" w:rsidR="00E921BC" w:rsidRDefault="00DD34C6">
            <w:pPr>
              <w:jc w:val="center"/>
            </w:pPr>
            <w:r>
              <w:rPr>
                <w:rFonts w:ascii="Times New Roman" w:eastAsia="Times New Roman" w:hAnsi="Times New Roman"/>
                <w:color w:val="000000"/>
                <w:sz w:val="16"/>
              </w:rPr>
              <w:t>3</w:t>
            </w:r>
          </w:p>
        </w:tc>
        <w:tc>
          <w:tcPr>
            <w:tcW w:w="2437" w:type="dxa"/>
            <w:tcMar>
              <w:top w:w="70" w:type="dxa"/>
              <w:left w:w="90" w:type="dxa"/>
              <w:bottom w:w="70" w:type="dxa"/>
              <w:right w:w="90" w:type="dxa"/>
            </w:tcMar>
            <w:vAlign w:val="center"/>
          </w:tcPr>
          <w:p w14:paraId="2D2CB8C7" w14:textId="77777777" w:rsidR="00E921BC" w:rsidRDefault="00DD34C6">
            <w:pPr>
              <w:jc w:val="center"/>
            </w:pPr>
            <w:r>
              <w:rPr>
                <w:rFonts w:ascii="Times New Roman" w:eastAsia="Times New Roman" w:hAnsi="Times New Roman"/>
                <w:color w:val="000000"/>
                <w:sz w:val="16"/>
              </w:rPr>
              <w:t>0</w:t>
            </w:r>
          </w:p>
        </w:tc>
      </w:tr>
      <w:tr w:rsidR="00E921BC" w14:paraId="1CBEC6C3" w14:textId="77777777">
        <w:trPr>
          <w:jc w:val="center"/>
        </w:trPr>
        <w:tc>
          <w:tcPr>
            <w:tcW w:w="2437" w:type="dxa"/>
            <w:tcMar>
              <w:top w:w="70" w:type="dxa"/>
              <w:left w:w="90" w:type="dxa"/>
              <w:bottom w:w="70" w:type="dxa"/>
              <w:right w:w="90" w:type="dxa"/>
            </w:tcMar>
            <w:vAlign w:val="center"/>
          </w:tcPr>
          <w:p w14:paraId="111AB487" w14:textId="77777777" w:rsidR="00E921BC" w:rsidRDefault="00DD34C6">
            <w:r>
              <w:rPr>
                <w:rFonts w:ascii="Times New Roman" w:eastAsia="Times New Roman" w:hAnsi="Times New Roman"/>
                <w:color w:val="000000"/>
                <w:sz w:val="16"/>
              </w:rPr>
              <w:t>Raw EPVO provenance</w:t>
            </w:r>
          </w:p>
        </w:tc>
        <w:tc>
          <w:tcPr>
            <w:tcW w:w="2437" w:type="dxa"/>
            <w:tcMar>
              <w:top w:w="70" w:type="dxa"/>
              <w:left w:w="90" w:type="dxa"/>
              <w:bottom w:w="70" w:type="dxa"/>
              <w:right w:w="90" w:type="dxa"/>
            </w:tcMar>
            <w:vAlign w:val="center"/>
          </w:tcPr>
          <w:p w14:paraId="488C6C98" w14:textId="77777777" w:rsidR="00E921BC" w:rsidRDefault="00DD34C6">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4E2EDCFB" w14:textId="77777777" w:rsidR="00E921BC" w:rsidRDefault="00DD34C6">
            <w:pPr>
              <w:jc w:val="center"/>
            </w:pPr>
            <w:r>
              <w:rPr>
                <w:rFonts w:ascii="Times New Roman" w:eastAsia="Times New Roman" w:hAnsi="Times New Roman"/>
                <w:color w:val="000000"/>
                <w:sz w:val="16"/>
              </w:rPr>
              <w:t>61.36%</w:t>
            </w:r>
          </w:p>
        </w:tc>
        <w:tc>
          <w:tcPr>
            <w:tcW w:w="2437" w:type="dxa"/>
            <w:tcMar>
              <w:top w:w="70" w:type="dxa"/>
              <w:left w:w="90" w:type="dxa"/>
              <w:bottom w:w="70" w:type="dxa"/>
              <w:right w:w="90" w:type="dxa"/>
            </w:tcMar>
            <w:vAlign w:val="center"/>
          </w:tcPr>
          <w:p w14:paraId="76E07A3F" w14:textId="77777777" w:rsidR="00E921BC" w:rsidRDefault="00DD34C6">
            <w:pPr>
              <w:jc w:val="center"/>
            </w:pPr>
            <w:r>
              <w:rPr>
                <w:rFonts w:ascii="Times New Roman" w:eastAsia="Times New Roman" w:hAnsi="Times New Roman"/>
                <w:color w:val="000000"/>
                <w:sz w:val="16"/>
              </w:rPr>
              <w:t>+38.64 pp</w:t>
            </w:r>
          </w:p>
        </w:tc>
      </w:tr>
      <w:tr w:rsidR="00E921BC" w14:paraId="5D7043B6" w14:textId="77777777">
        <w:trPr>
          <w:jc w:val="center"/>
        </w:trPr>
        <w:tc>
          <w:tcPr>
            <w:tcW w:w="2437" w:type="dxa"/>
            <w:tcMar>
              <w:top w:w="70" w:type="dxa"/>
              <w:left w:w="90" w:type="dxa"/>
              <w:bottom w:w="70" w:type="dxa"/>
              <w:right w:w="90" w:type="dxa"/>
            </w:tcMar>
            <w:vAlign w:val="center"/>
          </w:tcPr>
          <w:p w14:paraId="5DDBF4B0" w14:textId="77777777" w:rsidR="00E921BC" w:rsidRDefault="00DD34C6">
            <w:r>
              <w:rPr>
                <w:rFonts w:ascii="Times New Roman" w:eastAsia="Times New Roman" w:hAnsi="Times New Roman"/>
                <w:color w:val="000000"/>
                <w:sz w:val="16"/>
              </w:rPr>
              <w:t>Profile provenance, regulatory block excluded</w:t>
            </w:r>
          </w:p>
        </w:tc>
        <w:tc>
          <w:tcPr>
            <w:tcW w:w="2437" w:type="dxa"/>
            <w:tcMar>
              <w:top w:w="70" w:type="dxa"/>
              <w:left w:w="90" w:type="dxa"/>
              <w:bottom w:w="70" w:type="dxa"/>
              <w:right w:w="90" w:type="dxa"/>
            </w:tcMar>
            <w:vAlign w:val="center"/>
          </w:tcPr>
          <w:p w14:paraId="5A46F993" w14:textId="77777777" w:rsidR="00E921BC" w:rsidRDefault="00DD34C6">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6FE15CFB" w14:textId="77777777" w:rsidR="00E921BC" w:rsidRDefault="00DD34C6">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33B90E8F" w14:textId="77777777" w:rsidR="00E921BC" w:rsidRDefault="00DD34C6">
            <w:pPr>
              <w:jc w:val="center"/>
            </w:pPr>
            <w:r>
              <w:rPr>
                <w:rFonts w:ascii="Times New Roman" w:eastAsia="Times New Roman" w:hAnsi="Times New Roman"/>
                <w:color w:val="000000"/>
                <w:sz w:val="16"/>
              </w:rPr>
              <w:t>0.00 pp</w:t>
            </w:r>
          </w:p>
        </w:tc>
      </w:tr>
      <w:tr w:rsidR="00E921BC" w14:paraId="018C2D93" w14:textId="77777777">
        <w:trPr>
          <w:jc w:val="center"/>
        </w:trPr>
        <w:tc>
          <w:tcPr>
            <w:tcW w:w="2437" w:type="dxa"/>
            <w:tcMar>
              <w:top w:w="70" w:type="dxa"/>
              <w:left w:w="90" w:type="dxa"/>
              <w:bottom w:w="70" w:type="dxa"/>
              <w:right w:w="90" w:type="dxa"/>
            </w:tcMar>
            <w:vAlign w:val="center"/>
          </w:tcPr>
          <w:p w14:paraId="36E28D10" w14:textId="77777777" w:rsidR="00E921BC" w:rsidRDefault="00DD34C6">
            <w:r>
              <w:rPr>
                <w:rFonts w:ascii="Times New Roman" w:eastAsia="Times New Roman" w:hAnsi="Times New Roman"/>
                <w:color w:val="000000"/>
                <w:sz w:val="16"/>
              </w:rPr>
              <w:t>Raw semester alignment, ±1</w:t>
            </w:r>
          </w:p>
        </w:tc>
        <w:tc>
          <w:tcPr>
            <w:tcW w:w="2437" w:type="dxa"/>
            <w:tcMar>
              <w:top w:w="70" w:type="dxa"/>
              <w:left w:w="90" w:type="dxa"/>
              <w:bottom w:w="70" w:type="dxa"/>
              <w:right w:w="90" w:type="dxa"/>
            </w:tcMar>
            <w:vAlign w:val="center"/>
          </w:tcPr>
          <w:p w14:paraId="2C4A6087" w14:textId="77777777" w:rsidR="00E921BC" w:rsidRDefault="00DD34C6">
            <w:pPr>
              <w:jc w:val="center"/>
            </w:pPr>
            <w:r>
              <w:rPr>
                <w:rFonts w:ascii="Times New Roman" w:eastAsia="Times New Roman" w:hAnsi="Times New Roman"/>
                <w:color w:val="000000"/>
                <w:sz w:val="16"/>
              </w:rPr>
              <w:t>83.70%</w:t>
            </w:r>
          </w:p>
        </w:tc>
        <w:tc>
          <w:tcPr>
            <w:tcW w:w="2437" w:type="dxa"/>
            <w:tcMar>
              <w:top w:w="70" w:type="dxa"/>
              <w:left w:w="90" w:type="dxa"/>
              <w:bottom w:w="70" w:type="dxa"/>
              <w:right w:w="90" w:type="dxa"/>
            </w:tcMar>
            <w:vAlign w:val="center"/>
          </w:tcPr>
          <w:p w14:paraId="3C65D9FC" w14:textId="77777777" w:rsidR="00E921BC" w:rsidRDefault="00DD34C6">
            <w:pPr>
              <w:jc w:val="center"/>
            </w:pPr>
            <w:r>
              <w:rPr>
                <w:rFonts w:ascii="Times New Roman" w:eastAsia="Times New Roman" w:hAnsi="Times New Roman"/>
                <w:color w:val="000000"/>
                <w:sz w:val="16"/>
              </w:rPr>
              <w:t>69.95%</w:t>
            </w:r>
          </w:p>
        </w:tc>
        <w:tc>
          <w:tcPr>
            <w:tcW w:w="2437" w:type="dxa"/>
            <w:tcMar>
              <w:top w:w="70" w:type="dxa"/>
              <w:left w:w="90" w:type="dxa"/>
              <w:bottom w:w="70" w:type="dxa"/>
              <w:right w:w="90" w:type="dxa"/>
            </w:tcMar>
            <w:vAlign w:val="center"/>
          </w:tcPr>
          <w:p w14:paraId="2A686234" w14:textId="77777777" w:rsidR="00E921BC" w:rsidRDefault="00DD34C6">
            <w:pPr>
              <w:jc w:val="center"/>
            </w:pPr>
            <w:r>
              <w:rPr>
                <w:rFonts w:ascii="Times New Roman" w:eastAsia="Times New Roman" w:hAnsi="Times New Roman"/>
                <w:color w:val="000000"/>
                <w:sz w:val="16"/>
              </w:rPr>
              <w:t>+13.75 pp</w:t>
            </w:r>
          </w:p>
        </w:tc>
      </w:tr>
      <w:tr w:rsidR="00E921BC" w14:paraId="7B3F35B6" w14:textId="77777777">
        <w:trPr>
          <w:jc w:val="center"/>
        </w:trPr>
        <w:tc>
          <w:tcPr>
            <w:tcW w:w="2437" w:type="dxa"/>
            <w:tcMar>
              <w:top w:w="70" w:type="dxa"/>
              <w:left w:w="90" w:type="dxa"/>
              <w:bottom w:w="70" w:type="dxa"/>
              <w:right w:w="90" w:type="dxa"/>
            </w:tcMar>
            <w:vAlign w:val="center"/>
          </w:tcPr>
          <w:p w14:paraId="79BD1B38" w14:textId="77777777" w:rsidR="00E921BC" w:rsidRDefault="00DD34C6">
            <w:r>
              <w:rPr>
                <w:rFonts w:ascii="Times New Roman" w:eastAsia="Times New Roman" w:hAnsi="Times New Roman"/>
                <w:color w:val="000000"/>
                <w:sz w:val="16"/>
              </w:rPr>
              <w:t>Prerequisite-adjusted alignment</w:t>
            </w:r>
          </w:p>
        </w:tc>
        <w:tc>
          <w:tcPr>
            <w:tcW w:w="2437" w:type="dxa"/>
            <w:tcMar>
              <w:top w:w="70" w:type="dxa"/>
              <w:left w:w="90" w:type="dxa"/>
              <w:bottom w:w="70" w:type="dxa"/>
              <w:right w:w="90" w:type="dxa"/>
            </w:tcMar>
            <w:vAlign w:val="center"/>
          </w:tcPr>
          <w:p w14:paraId="66CA23BC" w14:textId="77777777" w:rsidR="00E921BC" w:rsidRDefault="00DD34C6">
            <w:pPr>
              <w:jc w:val="center"/>
            </w:pPr>
            <w:r>
              <w:rPr>
                <w:rFonts w:ascii="Times New Roman" w:eastAsia="Times New Roman" w:hAnsi="Times New Roman"/>
                <w:color w:val="000000"/>
                <w:sz w:val="16"/>
              </w:rPr>
              <w:t>85.15%</w:t>
            </w:r>
          </w:p>
        </w:tc>
        <w:tc>
          <w:tcPr>
            <w:tcW w:w="2437" w:type="dxa"/>
            <w:tcMar>
              <w:top w:w="70" w:type="dxa"/>
              <w:left w:w="90" w:type="dxa"/>
              <w:bottom w:w="70" w:type="dxa"/>
              <w:right w:w="90" w:type="dxa"/>
            </w:tcMar>
            <w:vAlign w:val="center"/>
          </w:tcPr>
          <w:p w14:paraId="73C9DA5B" w14:textId="77777777" w:rsidR="00E921BC" w:rsidRDefault="00DD34C6">
            <w:pPr>
              <w:jc w:val="center"/>
            </w:pPr>
            <w:r>
              <w:rPr>
                <w:rFonts w:ascii="Times New Roman" w:eastAsia="Times New Roman" w:hAnsi="Times New Roman"/>
                <w:color w:val="000000"/>
                <w:sz w:val="16"/>
              </w:rPr>
              <w:t>75.70%</w:t>
            </w:r>
          </w:p>
        </w:tc>
        <w:tc>
          <w:tcPr>
            <w:tcW w:w="2437" w:type="dxa"/>
            <w:tcMar>
              <w:top w:w="70" w:type="dxa"/>
              <w:left w:w="90" w:type="dxa"/>
              <w:bottom w:w="70" w:type="dxa"/>
              <w:right w:w="90" w:type="dxa"/>
            </w:tcMar>
            <w:vAlign w:val="center"/>
          </w:tcPr>
          <w:p w14:paraId="21CAC6F4" w14:textId="77777777" w:rsidR="00E921BC" w:rsidRDefault="00DD34C6">
            <w:pPr>
              <w:jc w:val="center"/>
            </w:pPr>
            <w:r>
              <w:rPr>
                <w:rFonts w:ascii="Times New Roman" w:eastAsia="Times New Roman" w:hAnsi="Times New Roman"/>
                <w:color w:val="000000"/>
                <w:sz w:val="16"/>
              </w:rPr>
              <w:t>+9.45 pp</w:t>
            </w:r>
          </w:p>
        </w:tc>
      </w:tr>
      <w:tr w:rsidR="00E921BC" w14:paraId="27D48EC5" w14:textId="77777777">
        <w:trPr>
          <w:jc w:val="center"/>
        </w:trPr>
        <w:tc>
          <w:tcPr>
            <w:tcW w:w="2437" w:type="dxa"/>
            <w:tcMar>
              <w:top w:w="70" w:type="dxa"/>
              <w:left w:w="90" w:type="dxa"/>
              <w:bottom w:w="70" w:type="dxa"/>
              <w:right w:w="90" w:type="dxa"/>
            </w:tcMar>
            <w:vAlign w:val="center"/>
          </w:tcPr>
          <w:p w14:paraId="42FC745D" w14:textId="77777777" w:rsidR="00E921BC" w:rsidRDefault="00DD34C6">
            <w:r>
              <w:rPr>
                <w:rFonts w:ascii="Times New Roman" w:eastAsia="Times New Roman" w:hAnsi="Times New Roman"/>
                <w:color w:val="000000"/>
                <w:sz w:val="16"/>
              </w:rPr>
              <w:t>Semantic-adjusted alignment</w:t>
            </w:r>
          </w:p>
        </w:tc>
        <w:tc>
          <w:tcPr>
            <w:tcW w:w="2437" w:type="dxa"/>
            <w:tcMar>
              <w:top w:w="70" w:type="dxa"/>
              <w:left w:w="90" w:type="dxa"/>
              <w:bottom w:w="70" w:type="dxa"/>
              <w:right w:w="90" w:type="dxa"/>
            </w:tcMar>
            <w:vAlign w:val="center"/>
          </w:tcPr>
          <w:p w14:paraId="6A08E754" w14:textId="77777777" w:rsidR="00E921BC" w:rsidRDefault="00DD34C6">
            <w:pPr>
              <w:jc w:val="center"/>
            </w:pPr>
            <w:r>
              <w:rPr>
                <w:rFonts w:ascii="Times New Roman" w:eastAsia="Times New Roman" w:hAnsi="Times New Roman"/>
                <w:color w:val="000000"/>
                <w:sz w:val="16"/>
              </w:rPr>
              <w:t>86.84%</w:t>
            </w:r>
          </w:p>
        </w:tc>
        <w:tc>
          <w:tcPr>
            <w:tcW w:w="2437" w:type="dxa"/>
            <w:tcMar>
              <w:top w:w="70" w:type="dxa"/>
              <w:left w:w="90" w:type="dxa"/>
              <w:bottom w:w="70" w:type="dxa"/>
              <w:right w:w="90" w:type="dxa"/>
            </w:tcMar>
            <w:vAlign w:val="center"/>
          </w:tcPr>
          <w:p w14:paraId="729F6FA8" w14:textId="77777777" w:rsidR="00E921BC" w:rsidRDefault="00DD34C6">
            <w:pPr>
              <w:jc w:val="center"/>
            </w:pPr>
            <w:r>
              <w:rPr>
                <w:rFonts w:ascii="Times New Roman" w:eastAsia="Times New Roman" w:hAnsi="Times New Roman"/>
                <w:color w:val="000000"/>
                <w:sz w:val="16"/>
              </w:rPr>
              <w:t>81.23%</w:t>
            </w:r>
          </w:p>
        </w:tc>
        <w:tc>
          <w:tcPr>
            <w:tcW w:w="2437" w:type="dxa"/>
            <w:tcMar>
              <w:top w:w="70" w:type="dxa"/>
              <w:left w:w="90" w:type="dxa"/>
              <w:bottom w:w="70" w:type="dxa"/>
              <w:right w:w="90" w:type="dxa"/>
            </w:tcMar>
            <w:vAlign w:val="center"/>
          </w:tcPr>
          <w:p w14:paraId="698B80AE" w14:textId="77777777" w:rsidR="00E921BC" w:rsidRDefault="00DD34C6">
            <w:pPr>
              <w:jc w:val="center"/>
            </w:pPr>
            <w:r>
              <w:rPr>
                <w:rFonts w:ascii="Times New Roman" w:eastAsia="Times New Roman" w:hAnsi="Times New Roman"/>
                <w:color w:val="000000"/>
                <w:sz w:val="16"/>
              </w:rPr>
              <w:t>+5.61 pp</w:t>
            </w:r>
          </w:p>
        </w:tc>
      </w:tr>
      <w:tr w:rsidR="00E921BC" w14:paraId="6CB211F0" w14:textId="77777777">
        <w:trPr>
          <w:jc w:val="center"/>
        </w:trPr>
        <w:tc>
          <w:tcPr>
            <w:tcW w:w="2437" w:type="dxa"/>
            <w:tcMar>
              <w:top w:w="70" w:type="dxa"/>
              <w:left w:w="90" w:type="dxa"/>
              <w:bottom w:w="70" w:type="dxa"/>
              <w:right w:w="90" w:type="dxa"/>
            </w:tcMar>
            <w:vAlign w:val="center"/>
          </w:tcPr>
          <w:p w14:paraId="2075E333" w14:textId="77777777" w:rsidR="00E921BC" w:rsidRDefault="00DD34C6">
            <w:r>
              <w:rPr>
                <w:rFonts w:ascii="Times New Roman" w:eastAsia="Times New Roman" w:hAnsi="Times New Roman"/>
                <w:color w:val="000000"/>
                <w:sz w:val="16"/>
              </w:rPr>
              <w:t>International checklist</w:t>
            </w:r>
          </w:p>
        </w:tc>
        <w:tc>
          <w:tcPr>
            <w:tcW w:w="2437" w:type="dxa"/>
            <w:tcMar>
              <w:top w:w="70" w:type="dxa"/>
              <w:left w:w="90" w:type="dxa"/>
              <w:bottom w:w="70" w:type="dxa"/>
              <w:right w:w="90" w:type="dxa"/>
            </w:tcMar>
            <w:vAlign w:val="center"/>
          </w:tcPr>
          <w:p w14:paraId="6599E7E1" w14:textId="77777777" w:rsidR="00E921BC" w:rsidRDefault="00DD34C6">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5C618019" w14:textId="77777777" w:rsidR="00E921BC" w:rsidRDefault="00DD34C6">
            <w:pPr>
              <w:jc w:val="center"/>
            </w:pPr>
            <w:r>
              <w:rPr>
                <w:rFonts w:ascii="Times New Roman" w:eastAsia="Times New Roman" w:hAnsi="Times New Roman"/>
                <w:color w:val="000000"/>
                <w:sz w:val="16"/>
              </w:rPr>
              <w:t>100.00%</w:t>
            </w:r>
          </w:p>
        </w:tc>
        <w:tc>
          <w:tcPr>
            <w:tcW w:w="2437" w:type="dxa"/>
            <w:tcMar>
              <w:top w:w="70" w:type="dxa"/>
              <w:left w:w="90" w:type="dxa"/>
              <w:bottom w:w="70" w:type="dxa"/>
              <w:right w:w="90" w:type="dxa"/>
            </w:tcMar>
            <w:vAlign w:val="center"/>
          </w:tcPr>
          <w:p w14:paraId="237C255C" w14:textId="77777777" w:rsidR="00E921BC" w:rsidRDefault="00DD34C6">
            <w:pPr>
              <w:jc w:val="center"/>
            </w:pPr>
            <w:r>
              <w:rPr>
                <w:rFonts w:ascii="Times New Roman" w:eastAsia="Times New Roman" w:hAnsi="Times New Roman"/>
                <w:color w:val="000000"/>
                <w:sz w:val="16"/>
              </w:rPr>
              <w:t>0.00 pp</w:t>
            </w:r>
          </w:p>
        </w:tc>
      </w:tr>
      <w:tr w:rsidR="00E921BC" w14:paraId="4C8E2122" w14:textId="77777777">
        <w:trPr>
          <w:jc w:val="center"/>
        </w:trPr>
        <w:tc>
          <w:tcPr>
            <w:tcW w:w="2437" w:type="dxa"/>
            <w:tcMar>
              <w:top w:w="70" w:type="dxa"/>
              <w:left w:w="90" w:type="dxa"/>
              <w:bottom w:w="70" w:type="dxa"/>
              <w:right w:w="90" w:type="dxa"/>
            </w:tcMar>
            <w:vAlign w:val="center"/>
          </w:tcPr>
          <w:p w14:paraId="06670406" w14:textId="77777777" w:rsidR="00E921BC" w:rsidRDefault="00DD34C6">
            <w:r>
              <w:rPr>
                <w:rFonts w:ascii="Times New Roman" w:eastAsia="Times New Roman" w:hAnsi="Times New Roman"/>
                <w:color w:val="000000"/>
                <w:sz w:val="16"/>
              </w:rPr>
              <w:t>Hard violations</w:t>
            </w:r>
          </w:p>
        </w:tc>
        <w:tc>
          <w:tcPr>
            <w:tcW w:w="2437" w:type="dxa"/>
            <w:tcMar>
              <w:top w:w="70" w:type="dxa"/>
              <w:left w:w="90" w:type="dxa"/>
              <w:bottom w:w="70" w:type="dxa"/>
              <w:right w:w="90" w:type="dxa"/>
            </w:tcMar>
            <w:vAlign w:val="center"/>
          </w:tcPr>
          <w:p w14:paraId="391219F2" w14:textId="77777777" w:rsidR="00E921BC" w:rsidRDefault="00DD34C6">
            <w:pPr>
              <w:jc w:val="center"/>
            </w:pPr>
            <w:r>
              <w:rPr>
                <w:rFonts w:ascii="Times New Roman" w:eastAsia="Times New Roman" w:hAnsi="Times New Roman"/>
                <w:color w:val="000000"/>
                <w:sz w:val="16"/>
              </w:rPr>
              <w:t>0</w:t>
            </w:r>
          </w:p>
        </w:tc>
        <w:tc>
          <w:tcPr>
            <w:tcW w:w="2437" w:type="dxa"/>
            <w:tcMar>
              <w:top w:w="70" w:type="dxa"/>
              <w:left w:w="90" w:type="dxa"/>
              <w:bottom w:w="70" w:type="dxa"/>
              <w:right w:w="90" w:type="dxa"/>
            </w:tcMar>
            <w:vAlign w:val="center"/>
          </w:tcPr>
          <w:p w14:paraId="067A227F" w14:textId="77777777" w:rsidR="00E921BC" w:rsidRDefault="00DD34C6">
            <w:pPr>
              <w:jc w:val="center"/>
            </w:pPr>
            <w:r>
              <w:rPr>
                <w:rFonts w:ascii="Times New Roman" w:eastAsia="Times New Roman" w:hAnsi="Times New Roman"/>
                <w:color w:val="000000"/>
                <w:sz w:val="16"/>
              </w:rPr>
              <w:t>0</w:t>
            </w:r>
          </w:p>
        </w:tc>
        <w:tc>
          <w:tcPr>
            <w:tcW w:w="2437" w:type="dxa"/>
            <w:tcMar>
              <w:top w:w="70" w:type="dxa"/>
              <w:left w:w="90" w:type="dxa"/>
              <w:bottom w:w="70" w:type="dxa"/>
              <w:right w:w="90" w:type="dxa"/>
            </w:tcMar>
            <w:vAlign w:val="center"/>
          </w:tcPr>
          <w:p w14:paraId="168A23DA" w14:textId="77777777" w:rsidR="00E921BC" w:rsidRDefault="00DD34C6">
            <w:pPr>
              <w:jc w:val="center"/>
            </w:pPr>
            <w:r>
              <w:rPr>
                <w:rFonts w:ascii="Times New Roman" w:eastAsia="Times New Roman" w:hAnsi="Times New Roman"/>
                <w:color w:val="000000"/>
                <w:sz w:val="16"/>
              </w:rPr>
              <w:t>0</w:t>
            </w:r>
          </w:p>
        </w:tc>
      </w:tr>
    </w:tbl>
    <w:p w14:paraId="039A0560" w14:textId="77777777" w:rsidR="00E921BC" w:rsidRDefault="00DD34C6">
      <w:pPr>
        <w:pStyle w:val="ICESTNormal"/>
        <w:ind w:firstLine="0"/>
        <w:jc w:val="center"/>
      </w:pPr>
      <w:r>
        <w:rPr>
          <w:i/>
          <w:color w:val="000000"/>
        </w:rPr>
        <w:t xml:space="preserve">Table 3. Fresh quality-eligible plans in international and </w:t>
      </w:r>
      <w:r>
        <w:rPr>
          <w:i/>
          <w:color w:val="000000"/>
        </w:rPr>
        <w:t>Kazakhstan-regulated modes.</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3B41F6FC" w14:textId="77777777">
        <w:trPr>
          <w:jc w:val="center"/>
        </w:trPr>
        <w:tc>
          <w:tcPr>
            <w:tcW w:w="9747" w:type="dxa"/>
            <w:shd w:val="clear" w:color="auto" w:fill="F2F2F2"/>
            <w:tcMar>
              <w:top w:w="180" w:type="dxa"/>
              <w:left w:w="160" w:type="dxa"/>
              <w:bottom w:w="180" w:type="dxa"/>
              <w:right w:w="160" w:type="dxa"/>
            </w:tcMar>
          </w:tcPr>
          <w:p w14:paraId="46CCD631" w14:textId="77777777" w:rsidR="00E921BC" w:rsidRDefault="00DD34C6">
            <w:pPr>
              <w:jc w:val="center"/>
            </w:pPr>
            <w:r>
              <w:rPr>
                <w:rFonts w:ascii="Times New Roman" w:eastAsia="Times New Roman" w:hAnsi="Times New Roman"/>
                <w:b/>
                <w:color w:val="000000"/>
                <w:sz w:val="20"/>
              </w:rPr>
              <w:t>Figure 6 placeholder</w:t>
            </w:r>
          </w:p>
        </w:tc>
      </w:tr>
    </w:tbl>
    <w:p w14:paraId="6CACEB93" w14:textId="77777777" w:rsidR="00E921BC" w:rsidRDefault="00DD34C6">
      <w:pPr>
        <w:pStyle w:val="ICESTNormal"/>
        <w:ind w:firstLine="0"/>
        <w:jc w:val="center"/>
      </w:pPr>
      <w:r>
        <w:rPr>
          <w:i/>
          <w:color w:val="000000"/>
        </w:rPr>
        <w:t>Figure 6. International mode and Kazakhstan regulatory requirements.</w:t>
      </w:r>
    </w:p>
    <w:p w14:paraId="40D651ED" w14:textId="77777777" w:rsidR="00E921BC" w:rsidRDefault="00DD34C6">
      <w:pPr>
        <w:pStyle w:val="ICESTNormal"/>
        <w:ind w:firstLine="0"/>
      </w:pPr>
      <w:r>
        <w:rPr>
          <w:b/>
          <w:color w:val="000000"/>
          <w:sz w:val="16"/>
        </w:rPr>
        <w:t xml:space="preserve">Draft image-generation prompt (remove before submission): </w:t>
      </w:r>
      <w:r>
        <w:rPr>
          <w:i/>
          <w:color w:val="000000"/>
          <w:sz w:val="16"/>
        </w:rPr>
        <w:t xml:space="preserve">Create a Q2-journal comparison chart with two aligned curriculum lanes and a </w:t>
      </w:r>
      <w:r>
        <w:rPr>
          <w:i/>
          <w:color w:val="000000"/>
          <w:sz w:val="16"/>
        </w:rPr>
        <w:t>small bar panel. Lane A titled 'International mode': no Kazakhstan protected block, semantic-adjusted semester alignment 86.84%, profile provenance 100%, hard violations 0. Lane B titled 'Kazakhstan requirements (SCES RK/GOSO)': protected mandatory compone</w:t>
      </w:r>
      <w:r>
        <w:rPr>
          <w:i/>
          <w:color w:val="000000"/>
          <w:sz w:val="16"/>
        </w:rPr>
        <w:t>nts, practices, research work, and final attestation; 35 protected elements across three reported plans; semantic-adjusted alignment 81.23%; profile provenance after regulatory exclusion 100%; hard violations 0. Show the shared professional-course layer in</w:t>
      </w:r>
      <w:r>
        <w:rPr>
          <w:i/>
          <w:color w:val="000000"/>
          <w:sz w:val="16"/>
        </w:rPr>
        <w:t xml:space="preserve"> navy and the protected local layer in amber. Display forward prerequisite arrows and 27-33 credit semester bands. Add a textual note: the 5.61-point gap represents reduced scheduling freedom, not lower quality of profile courses. Do not call either mode a</w:t>
      </w:r>
      <w:r>
        <w:rPr>
          <w:i/>
          <w:color w:val="000000"/>
          <w:sz w:val="16"/>
        </w:rPr>
        <w:t>ccredited. White background, restrained colours, editable SVG and 300-dpi PNG, English labels.</w:t>
      </w:r>
    </w:p>
    <w:p w14:paraId="7911BDBF" w14:textId="77777777" w:rsidR="00E921BC" w:rsidRDefault="00DD34C6">
      <w:pPr>
        <w:keepNext/>
        <w:spacing w:before="120" w:after="40"/>
      </w:pPr>
      <w:r>
        <w:rPr>
          <w:rFonts w:ascii="Times New Roman" w:eastAsia="Times New Roman" w:hAnsi="Times New Roman"/>
          <w:b/>
          <w:color w:val="000000"/>
        </w:rPr>
        <w:t>6.1. End-to-End Control Programmes and Ablation Evidence</w:t>
      </w:r>
    </w:p>
    <w:p w14:paraId="38A9419F" w14:textId="77777777" w:rsidR="00E921BC" w:rsidRDefault="00DD34C6">
      <w:pPr>
        <w:pStyle w:val="ICESTNormal"/>
        <w:ind w:firstLine="283"/>
      </w:pPr>
      <w:r>
        <w:rPr>
          <w:color w:val="000000"/>
          <w:sz w:val="22"/>
        </w:rPr>
        <w:t>Control programmes cover conventional and interdisciplinary bachelor's designs, a master's programme, an</w:t>
      </w:r>
      <w:r>
        <w:rPr>
          <w:color w:val="000000"/>
          <w:sz w:val="22"/>
        </w:rPr>
        <w:t>d a doctoral programme. Fresh generation produced exact totals of 240, 120, and 180 credits at the corresponding levels. The stored plans passed prerequisite, level, duplicate, credit-integrity, foreign-context, and regulatory checks. The international che</w:t>
      </w:r>
      <w:r>
        <w:rPr>
          <w:color w:val="000000"/>
          <w:sz w:val="22"/>
        </w:rPr>
        <w:t>cklist reported 100% for all six quality-eligible programmes, while the predefined negative control remained outside the cohort rather than being used to inflate the mean.</w:t>
      </w:r>
    </w:p>
    <w:p w14:paraId="504746B4" w14:textId="77777777" w:rsidR="00E921BC" w:rsidRDefault="00DD34C6">
      <w:pPr>
        <w:pStyle w:val="ICESTNormal"/>
        <w:ind w:firstLine="283"/>
      </w:pPr>
      <w:r>
        <w:rPr>
          <w:color w:val="000000"/>
          <w:sz w:val="22"/>
        </w:rPr>
        <w:t>Ablation observations identify which safeguards cause the improvement. In the Digita</w:t>
      </w:r>
      <w:r>
        <w:rPr>
          <w:color w:val="000000"/>
          <w:sz w:val="22"/>
        </w:rPr>
        <w:t>l Forensics Investigator case, the education-level guard removed courses from inappropriate levels, final LO repair established real coverage for every professional outcome, and the contextual guard removed unrelated courses hidden behind generic digital t</w:t>
      </w:r>
      <w:r>
        <w:rPr>
          <w:color w:val="000000"/>
          <w:sz w:val="22"/>
        </w:rPr>
        <w:t>erminology. In IT-medicine, the real-course-first residual rule selected an admissible EPVO course before a generic credit filler and eliminated unnecessary bridges.</w:t>
      </w:r>
    </w:p>
    <w:p w14:paraId="59704E57" w14:textId="77777777" w:rsidR="00E921BC" w:rsidRDefault="00DD34C6">
      <w:pPr>
        <w:pStyle w:val="ICESTNormal"/>
        <w:ind w:firstLine="283"/>
      </w:pPr>
      <w:r>
        <w:rPr>
          <w:color w:val="000000"/>
          <w:sz w:val="22"/>
        </w:rPr>
        <w:t>The D094 doctoral control demonstrates exact fitting after a large regulatory block. The p</w:t>
      </w:r>
      <w:r>
        <w:rPr>
          <w:color w:val="000000"/>
          <w:sz w:val="22"/>
        </w:rPr>
        <w:t>lanner retained the protected research, practice, and attestation components and selected an exact professional remainder from real courses. Earlier bridge-heavy variants were replaced by evidence-bearing EPVO courses while maintaining 180 total credits an</w:t>
      </w:r>
      <w:r>
        <w:rPr>
          <w:color w:val="000000"/>
          <w:sz w:val="22"/>
        </w:rPr>
        <w:t>d zero hard violations. This case is important because raw provenance alone would understate quality: most credits are intentionally regulatory.</w:t>
      </w:r>
    </w:p>
    <w:p w14:paraId="447A4F79" w14:textId="77777777" w:rsidR="00E921BC" w:rsidRDefault="00DD34C6">
      <w:pPr>
        <w:pStyle w:val="ICESTNormal"/>
        <w:ind w:firstLine="283"/>
      </w:pPr>
      <w:r>
        <w:rPr>
          <w:color w:val="000000"/>
          <w:sz w:val="22"/>
        </w:rPr>
        <w:t>The A/B/C mechanism was also tested for diversity. Alternatives share mandatory components but differ in profes</w:t>
      </w:r>
      <w:r>
        <w:rPr>
          <w:color w:val="000000"/>
          <w:sz w:val="22"/>
        </w:rPr>
        <w:t>sional composition and ranking priorities. Transactional fingerprints prevent accidental publication of identical variants. When only one plan is requested, the system avoids the cost of building unused alternatives; A/B/C can later be completed from the s</w:t>
      </w:r>
      <w:r>
        <w:rPr>
          <w:color w:val="000000"/>
          <w:sz w:val="22"/>
        </w:rPr>
        <w:t>ame frozen project constraints.</w:t>
      </w:r>
    </w:p>
    <w:p w14:paraId="2347B611" w14:textId="77777777" w:rsidR="00E921BC" w:rsidRDefault="00DD34C6">
      <w:pPr>
        <w:keepNext/>
        <w:spacing w:before="120" w:after="40"/>
      </w:pPr>
      <w:r>
        <w:rPr>
          <w:rFonts w:ascii="Times New Roman" w:eastAsia="Times New Roman" w:hAnsi="Times New Roman"/>
          <w:b/>
          <w:color w:val="000000"/>
        </w:rPr>
        <w:t>6.2. Efficiency, Failure Handling, and Explainability</w:t>
      </w:r>
    </w:p>
    <w:p w14:paraId="11206D3D" w14:textId="77777777" w:rsidR="00E921BC" w:rsidRDefault="00DD34C6">
      <w:pPr>
        <w:pStyle w:val="ICESTNormal"/>
        <w:ind w:firstLine="283"/>
      </w:pPr>
      <w:r>
        <w:rPr>
          <w:color w:val="000000"/>
          <w:sz w:val="22"/>
        </w:rPr>
        <w:t>Repeated preprocessing was a major source of latency. Cache signatures now incorporate relevant data and configuration, so unchanged EPVO normalization and course-to-outc</w:t>
      </w:r>
      <w:r>
        <w:rPr>
          <w:color w:val="000000"/>
          <w:sz w:val="22"/>
        </w:rPr>
        <w:t>ome scoring can be reused. In a controlled repeated build, the EPVO stage decreased from 28.45 to 0.15 seconds and the scoring stage from 175.38 to 0.16 seconds; full generation decreased from 320.5 to 138.3 seconds because the remaining time represented a</w:t>
      </w:r>
      <w:r>
        <w:rPr>
          <w:color w:val="000000"/>
          <w:sz w:val="22"/>
        </w:rPr>
        <w:t>ctual A/B/C synthesis and verification.</w:t>
      </w:r>
    </w:p>
    <w:p w14:paraId="240B8671" w14:textId="77777777" w:rsidR="00E921BC" w:rsidRDefault="00DD34C6">
      <w:pPr>
        <w:pStyle w:val="ICESTNormal"/>
        <w:ind w:firstLine="283"/>
      </w:pPr>
      <w:r>
        <w:rPr>
          <w:color w:val="000000"/>
          <w:sz w:val="22"/>
        </w:rPr>
        <w:t>External AI services are optional assistants for proposing programme goals, learning outcomes, achievability explanations, and bridge titles. Structured response contracts validate language, item count, score ranges,</w:t>
      </w:r>
      <w:r>
        <w:rPr>
          <w:color w:val="000000"/>
          <w:sz w:val="22"/>
        </w:rPr>
        <w:t xml:space="preserve"> and domain relevance. Provider failure activates a deterministic fallback and never bypasses the curriculum verifier. Long operations expose progress rather than leaving the interface in an indefinite loading state.</w:t>
      </w:r>
    </w:p>
    <w:p w14:paraId="69316940" w14:textId="77777777" w:rsidR="00E921BC" w:rsidRDefault="00DD34C6">
      <w:pPr>
        <w:pStyle w:val="ICESTNormal"/>
        <w:ind w:firstLine="283"/>
      </w:pPr>
      <w:r>
        <w:rPr>
          <w:color w:val="000000"/>
          <w:sz w:val="22"/>
        </w:rPr>
        <w:t>The explanation layer distinguishes fin</w:t>
      </w:r>
      <w:r>
        <w:rPr>
          <w:color w:val="000000"/>
          <w:sz w:val="22"/>
        </w:rPr>
        <w:t>al relationship strength, AI prediction, and EPVO evidence. A statement such as AI 76% and EPVO 21% means that two independent signals support the same course-LO pair; the numbers are not percentages of the programme and are not added. The interface also l</w:t>
      </w:r>
      <w:r>
        <w:rPr>
          <w:color w:val="000000"/>
          <w:sz w:val="22"/>
        </w:rPr>
        <w:t>ists preceding and subsequent courses from the active plan, making the graph useful for curriculum review rather than merely decorative.</w:t>
      </w:r>
    </w:p>
    <w:p w14:paraId="279FB20A" w14:textId="77777777" w:rsidR="00E921BC" w:rsidRDefault="00DD34C6">
      <w:pPr>
        <w:keepNext/>
        <w:spacing w:before="120" w:after="40"/>
      </w:pPr>
      <w:r>
        <w:rPr>
          <w:rFonts w:ascii="Times New Roman" w:eastAsia="Times New Roman" w:hAnsi="Times New Roman"/>
          <w:b/>
          <w:color w:val="000000"/>
        </w:rPr>
        <w:t>6.3. Registry Comparison and International Quality</w:t>
      </w:r>
    </w:p>
    <w:p w14:paraId="347DF1CA" w14:textId="77777777" w:rsidR="00E921BC" w:rsidRDefault="00DD34C6">
      <w:pPr>
        <w:pStyle w:val="ICESTNormal"/>
        <w:ind w:firstLine="283"/>
      </w:pPr>
      <w:r>
        <w:rPr>
          <w:color w:val="000000"/>
          <w:sz w:val="22"/>
        </w:rPr>
        <w:t xml:space="preserve">A generated interdisciplinary programme is not expected to copy one </w:t>
      </w:r>
      <w:r>
        <w:rPr>
          <w:color w:val="000000"/>
          <w:sz w:val="22"/>
        </w:rPr>
        <w:t>historical programme. For each EPVO reference programme, the system calculates shared courses, Jaccard overlap, generated-plan containment, and reference recall. Low overlap with any single source can coexist with high provenance when the new programme int</w:t>
      </w:r>
      <w:r>
        <w:rPr>
          <w:color w:val="000000"/>
          <w:sz w:val="22"/>
        </w:rPr>
        <w:t>entionally combines validated components from several directions. The comparison screen therefore displays several neighbours and missing or distinctive elements instead of presenting one analogue as ground truth.</w:t>
      </w:r>
    </w:p>
    <w:p w14:paraId="5EB1A926" w14:textId="77777777" w:rsidR="00E921BC" w:rsidRDefault="00DD34C6">
      <w:pPr>
        <w:pStyle w:val="ICESTNormal"/>
        <w:ind w:firstLine="283"/>
      </w:pPr>
      <w:r>
        <w:rPr>
          <w:color w:val="000000"/>
          <w:sz w:val="22"/>
        </w:rPr>
        <w:t>The international checklist operationalise</w:t>
      </w:r>
      <w:r>
        <w:rPr>
          <w:color w:val="000000"/>
          <w:sz w:val="22"/>
        </w:rPr>
        <w:t>s OBE, ABET-style continuous improvement, CDIO integration, and Tuning competence principles. It checks outcome coverage, credit and semester consistency, prerequisite integrity, domain relevance, interdisciplinary integration, assessment-method availabili</w:t>
      </w:r>
      <w:r>
        <w:rPr>
          <w:color w:val="000000"/>
          <w:sz w:val="22"/>
        </w:rPr>
        <w:t>ty, and evidence of expert participation. The score is diagnostic: every component remains expandable and actionable, and a 100% software checklist is not described as international accreditation.</w:t>
      </w:r>
    </w:p>
    <w:p w14:paraId="60B2FDAE" w14:textId="77777777" w:rsidR="00E921BC" w:rsidRDefault="00DD34C6">
      <w:pPr>
        <w:pStyle w:val="ICESTNormal"/>
        <w:ind w:firstLine="283"/>
      </w:pPr>
      <w:r>
        <w:rPr>
          <w:color w:val="000000"/>
          <w:sz w:val="22"/>
        </w:rPr>
        <w:t xml:space="preserve">The cohort results illustrate this distinction. Both </w:t>
      </w:r>
      <w:r>
        <w:rPr>
          <w:color w:val="000000"/>
          <w:sz w:val="22"/>
        </w:rPr>
        <w:t>groups obtained a 100% checklist score because their plans passed the implemented criteria. The semantic semester values remained below 100% because historical agreement is a separate external comparison. Maintaining both results prevents the system from h</w:t>
      </w:r>
      <w:r>
        <w:rPr>
          <w:color w:val="000000"/>
          <w:sz w:val="22"/>
        </w:rPr>
        <w:t>iding a semester discrepancy behind a broad quality score and gives the programme team a concrete target for manual or algorithmic refinement.</w:t>
      </w:r>
    </w:p>
    <w:p w14:paraId="4DBAE51C" w14:textId="77777777" w:rsidR="00E921BC" w:rsidRDefault="00DD34C6">
      <w:pPr>
        <w:pStyle w:val="ICESTNormal"/>
        <w:ind w:firstLine="283"/>
      </w:pPr>
      <w:r>
        <w:rPr>
          <w:color w:val="000000"/>
          <w:sz w:val="22"/>
        </w:rPr>
        <w:t xml:space="preserve">The knowledge graph provides an additional visual audit. For a selected alternative, nodes are arranged by </w:t>
      </w:r>
      <w:r>
        <w:rPr>
          <w:color w:val="000000"/>
          <w:sz w:val="22"/>
        </w:rPr>
        <w:t>semester, prerequisite edges are directed, and the interface explains what the student is expected to acquire after each term. Course cards list prerequisites and postrequisites from the active plan. A future empirical study can compare these generated pro</w:t>
      </w:r>
      <w:r>
        <w:rPr>
          <w:color w:val="000000"/>
          <w:sz w:val="22"/>
        </w:rPr>
        <w:t>gression statements with student assessment data.</w:t>
      </w:r>
    </w:p>
    <w:p w14:paraId="15F44867" w14:textId="77777777" w:rsidR="00E921BC" w:rsidRDefault="00DD34C6">
      <w:pPr>
        <w:keepNext/>
        <w:spacing w:before="120" w:after="40"/>
      </w:pPr>
      <w:r>
        <w:rPr>
          <w:rFonts w:ascii="Times New Roman" w:eastAsia="Times New Roman" w:hAnsi="Times New Roman"/>
          <w:b/>
          <w:color w:val="000000"/>
        </w:rPr>
        <w:t>7. Discussion</w:t>
      </w:r>
    </w:p>
    <w:p w14:paraId="578A5A1A" w14:textId="77777777" w:rsidR="00E921BC" w:rsidRDefault="00DD34C6">
      <w:pPr>
        <w:pStyle w:val="ICESTNormal"/>
        <w:ind w:firstLine="283"/>
      </w:pPr>
      <w:r>
        <w:rPr>
          <w:color w:val="000000"/>
          <w:sz w:val="22"/>
        </w:rPr>
        <w:t>The results show why regulatory and professional metrics must not be conflated. Raw provenance in the SCES RK cohort is 61.36% because protected practices, research work, and attestation are r</w:t>
      </w:r>
      <w:r>
        <w:rPr>
          <w:color w:val="000000"/>
          <w:sz w:val="22"/>
        </w:rPr>
        <w:t>egulatory objects rather than ordinary EPVO courses. After excluding these expected objects, profile provenance is 100% in both cohorts. Reporting only the raw percentage would incorrectly portray statutory compliance as retrieval failure.</w:t>
      </w:r>
    </w:p>
    <w:p w14:paraId="71AF8A9B" w14:textId="77777777" w:rsidR="00E921BC" w:rsidRDefault="00DD34C6">
      <w:pPr>
        <w:pStyle w:val="ICESTNormal"/>
        <w:ind w:firstLine="283"/>
      </w:pPr>
      <w:r>
        <w:rPr>
          <w:color w:val="000000"/>
          <w:sz w:val="22"/>
        </w:rPr>
        <w:t>The semester com</w:t>
      </w:r>
      <w:r>
        <w:rPr>
          <w:color w:val="000000"/>
          <w:sz w:val="22"/>
        </w:rPr>
        <w:t>parison has the same interpretation. International-mode programmes can move courses more freely toward historical EPVO positions, so they exceed the Kazakhstan-regulated cohort. Nevertheless, the local-requirement plans remain feasible, have no hard violat</w:t>
      </w:r>
      <w:r>
        <w:rPr>
          <w:color w:val="000000"/>
          <w:sz w:val="22"/>
        </w:rPr>
        <w:t>ions, and preserve all profile-course provenance. Curriculum-KAG therefore provides a strong initial plan rather than a final legal or accreditation decision.</w:t>
      </w:r>
    </w:p>
    <w:p w14:paraId="7665637A" w14:textId="77777777" w:rsidR="00E921BC" w:rsidRDefault="00DD34C6">
      <w:pPr>
        <w:pStyle w:val="ICESTNormal"/>
        <w:ind w:firstLine="283"/>
      </w:pPr>
      <w:r>
        <w:rPr>
          <w:color w:val="000000"/>
          <w:sz w:val="22"/>
        </w:rPr>
        <w:t>In a preliminary expert demonstration, specialists from Abylkas Saginov Karaganda Technical Unive</w:t>
      </w:r>
      <w:r>
        <w:rPr>
          <w:color w:val="000000"/>
          <w:sz w:val="22"/>
        </w:rPr>
        <w:t>rsity and the Academy of Public Administration under the President of the Republic of Kazakhstan assessed the resulting programmes positively, particularly their traceability, explainability, and protection of regulatory components. They recommended limite</w:t>
      </w:r>
      <w:r>
        <w:rPr>
          <w:color w:val="000000"/>
          <w:sz w:val="22"/>
        </w:rPr>
        <w:t>d manual refinement of disputed links and syllabus-level details before formal approval. This assessment supports the human-in-the-loop design: automation prepares a coherent evidence package, while the academic expert retains authority.</w:t>
      </w:r>
    </w:p>
    <w:p w14:paraId="2AA6333C" w14:textId="77777777" w:rsidR="00E921BC" w:rsidRDefault="00DD34C6">
      <w:pPr>
        <w:pStyle w:val="ICESTNormal"/>
        <w:ind w:firstLine="283"/>
      </w:pPr>
      <w:r>
        <w:rPr>
          <w:color w:val="000000"/>
          <w:sz w:val="22"/>
        </w:rPr>
        <w:t>The practical valu</w:t>
      </w:r>
      <w:r>
        <w:rPr>
          <w:color w:val="000000"/>
          <w:sz w:val="22"/>
        </w:rPr>
        <w:t>e lies in reducing repetitive work. A programme team can define the field, education level, goals, and learning outcomes; obtain scoped course candidates; inspect why each course was selected; compare alternatives; review prerequisite and postrequisite cha</w:t>
      </w:r>
      <w:r>
        <w:rPr>
          <w:color w:val="000000"/>
          <w:sz w:val="22"/>
        </w:rPr>
        <w:t>ins; and correct uncertain links. Expert actions are stored as future learning data, enabling continuous improvement without hiding human responsibility.</w:t>
      </w:r>
    </w:p>
    <w:p w14:paraId="45085EA3" w14:textId="77777777" w:rsidR="00E921BC" w:rsidRDefault="00DD34C6">
      <w:pPr>
        <w:keepNext/>
        <w:spacing w:before="120" w:after="40"/>
      </w:pPr>
      <w:r>
        <w:rPr>
          <w:rFonts w:ascii="Times New Roman" w:eastAsia="Times New Roman" w:hAnsi="Times New Roman"/>
          <w:b/>
          <w:color w:val="000000"/>
        </w:rPr>
        <w:t>8. System Implementation and Reproducibility</w:t>
      </w:r>
    </w:p>
    <w:p w14:paraId="6D2364E2" w14:textId="77777777" w:rsidR="00E921BC" w:rsidRDefault="00DD34C6">
      <w:pPr>
        <w:pStyle w:val="ICESTNormal"/>
        <w:ind w:firstLine="283"/>
      </w:pPr>
      <w:r>
        <w:rPr>
          <w:color w:val="000000"/>
          <w:sz w:val="22"/>
        </w:rPr>
        <w:t>The implemented system uses a FastAPI backend, a React in</w:t>
      </w:r>
      <w:r>
        <w:rPr>
          <w:color w:val="000000"/>
          <w:sz w:val="22"/>
        </w:rPr>
        <w:t>terface, PostgreSQL as the primary transactional database, and pgvector for semantic indexing. Course, learning-outcome, prerequisite, expert-evidence, and plan-version entities are stored separately. This avoids embedding essential provenance in generated</w:t>
      </w:r>
      <w:r>
        <w:rPr>
          <w:color w:val="000000"/>
          <w:sz w:val="22"/>
        </w:rPr>
        <w:t xml:space="preserve"> prose and permits the verifier to reproduce every decision directly from structured records. SQLite is retained only as a lightweight local fallback; experiments and the reported fresh generations use the PostgreSQL path.</w:t>
      </w:r>
    </w:p>
    <w:p w14:paraId="01E231DC" w14:textId="77777777" w:rsidR="00E921BC" w:rsidRDefault="00DD34C6">
      <w:pPr>
        <w:pStyle w:val="ICESTNormal"/>
        <w:ind w:firstLine="283"/>
      </w:pPr>
      <w:r>
        <w:rPr>
          <w:color w:val="000000"/>
          <w:sz w:val="22"/>
        </w:rPr>
        <w:t xml:space="preserve">Generation is transactional. The </w:t>
      </w:r>
      <w:r>
        <w:rPr>
          <w:color w:val="000000"/>
          <w:sz w:val="22"/>
        </w:rPr>
        <w:t>planner constructs the requested alternative or the complete A/B/C set in memory, applies repair procedures, verifies each result, and commits only when the requested set satisfies the invariants. If a provider timeout, an impossible credit remainder, or a</w:t>
      </w:r>
      <w:r>
        <w:rPr>
          <w:color w:val="000000"/>
          <w:sz w:val="22"/>
        </w:rPr>
        <w:t xml:space="preserve"> validation error occurs, the transaction is rolled back and the previous active plan remains unchanged. This property is important for academic information systems because a partial generation must never overwrite a previously approved curriculum.</w:t>
      </w:r>
    </w:p>
    <w:p w14:paraId="5D9F6CDB" w14:textId="77777777" w:rsidR="00E921BC" w:rsidRDefault="00DD34C6">
      <w:pPr>
        <w:pStyle w:val="ICESTNormal"/>
        <w:ind w:firstLine="283"/>
      </w:pPr>
      <w:r>
        <w:rPr>
          <w:color w:val="000000"/>
          <w:sz w:val="22"/>
        </w:rPr>
        <w:t>The pla</w:t>
      </w:r>
      <w:r>
        <w:rPr>
          <w:color w:val="000000"/>
          <w:sz w:val="22"/>
        </w:rPr>
        <w:t xml:space="preserve">nning process is divided into observable stages: scope selection, EPVO candidate retrieval, course-to-outcome scoring, regulatory closure, prerequisite closure, credit fitting, semester allocation, repair, and independent validation. The interface reports </w:t>
      </w:r>
      <w:r>
        <w:rPr>
          <w:color w:val="000000"/>
          <w:sz w:val="22"/>
        </w:rPr>
        <w:t>stage progress, prevents duplicate launches, and permits generation of either one plan or three alternatives. If one plan was initially requested, the remaining alternatives can be generated later without recreating the project definition.</w:t>
      </w:r>
    </w:p>
    <w:p w14:paraId="482006A5" w14:textId="77777777" w:rsidR="00E921BC" w:rsidRDefault="00DD34C6">
      <w:pPr>
        <w:pStyle w:val="ICESTNormal"/>
        <w:ind w:firstLine="283"/>
      </w:pPr>
      <w:r>
        <w:rPr>
          <w:color w:val="000000"/>
          <w:sz w:val="22"/>
        </w:rPr>
        <w:t>Course explanati</w:t>
      </w:r>
      <w:r>
        <w:rPr>
          <w:color w:val="000000"/>
          <w:sz w:val="22"/>
        </w:rPr>
        <w:t>ons expose the final relationship strength, the AI prediction, the transferred EPVO expert score, source direction and programme group, prerequisite role, and semester rationale. These numbers are not added as if they were parts of one percentage. They are</w:t>
      </w:r>
      <w:r>
        <w:rPr>
          <w:color w:val="000000"/>
          <w:sz w:val="22"/>
        </w:rPr>
        <w:t xml:space="preserve"> separate evidence channels combined by an explicit policy. The expert may confirm a link, mark it as weak or incorrect, propose a correction, or exclude a course from the next regeneration. This feedback is versioned and can become supervised data in a la</w:t>
      </w:r>
      <w:r>
        <w:rPr>
          <w:color w:val="000000"/>
          <w:sz w:val="22"/>
        </w:rPr>
        <w:t>ter model cycle.</w:t>
      </w:r>
    </w:p>
    <w:p w14:paraId="0FABC6CE" w14:textId="77777777" w:rsidR="00E921BC" w:rsidRDefault="00DD34C6">
      <w:pPr>
        <w:pStyle w:val="ICESTNormal"/>
        <w:ind w:firstLine="283"/>
      </w:pPr>
      <w:r>
        <w:rPr>
          <w:color w:val="000000"/>
          <w:sz w:val="22"/>
        </w:rPr>
        <w:t>The multilingual layer stores title and description records independently for Russian, Kazakh, and English, together with a source status. Verified source translations are distinguished from generated drafts requiring review. Interface lab</w:t>
      </w:r>
      <w:r>
        <w:rPr>
          <w:color w:val="000000"/>
          <w:sz w:val="22"/>
        </w:rPr>
        <w:t>els, cycle names, errors, exports, and course explanations use the selected language with deterministic fallback. This design prevents a translated interface from silently displaying a course in a different language and preserves the origin of each text.</w:t>
      </w:r>
    </w:p>
    <w:p w14:paraId="4BF67EAA" w14:textId="77777777" w:rsidR="00E921BC" w:rsidRDefault="00DD34C6">
      <w:pPr>
        <w:pStyle w:val="ICESTNormal"/>
        <w:ind w:firstLine="283"/>
      </w:pPr>
      <w:r>
        <w:rPr>
          <w:color w:val="000000"/>
          <w:sz w:val="22"/>
        </w:rPr>
        <w:t>R</w:t>
      </w:r>
      <w:r>
        <w:rPr>
          <w:color w:val="000000"/>
          <w:sz w:val="22"/>
        </w:rPr>
        <w:t>eproducibility artefacts include the frozen split, seed 42, dataset counts, model and configuration identifiers, metric JSON files, plan fingerprints, and automated regression tests. The current local suite covers semantic deduplication, education-level gu</w:t>
      </w:r>
      <w:r>
        <w:rPr>
          <w:color w:val="000000"/>
          <w:sz w:val="22"/>
        </w:rPr>
        <w:t xml:space="preserve">ards, regulatory protection, prerequisite order, credit tolerance, course uniqueness, multilingual integrity, and safe fallback when an external AI provider is unavailable. The same validator is called by the interface and by offline experiments, reducing </w:t>
      </w:r>
      <w:r>
        <w:rPr>
          <w:color w:val="000000"/>
          <w:sz w:val="22"/>
        </w:rPr>
        <w:t>divergence between a scientific benchmark and the operational application.</w:t>
      </w:r>
    </w:p>
    <w:p w14:paraId="4A661194" w14:textId="77777777" w:rsidR="00E921BC" w:rsidRDefault="00DD34C6">
      <w:pPr>
        <w:pStyle w:val="ICESTNormal"/>
        <w:ind w:firstLine="283"/>
      </w:pPr>
      <w:r>
        <w:rPr>
          <w:color w:val="000000"/>
          <w:sz w:val="22"/>
        </w:rPr>
        <w:t xml:space="preserve">The versioned source code, deployment instructions, experiment configurations, database migrations, and quality checks are available at </w:t>
      </w:r>
      <w:hyperlink r:id="rId8">
        <w:r>
          <w:rPr>
            <w:color w:val="0563C1"/>
            <w:sz w:val="22"/>
            <w:u w:val="single"/>
          </w:rPr>
          <w:t>https://github.com/kmypat-commits/curriculum-kag</w:t>
        </w:r>
      </w:hyperlink>
      <w:r>
        <w:rPr>
          <w:color w:val="000000"/>
          <w:sz w:val="22"/>
        </w:rPr>
        <w:t>. Large model weights and the PostgreSQL dataset are distributed separately with checksums so that the repository remains practical to clone while each experiment can still be reconstru</w:t>
      </w:r>
      <w:r>
        <w:rPr>
          <w:color w:val="000000"/>
          <w:sz w:val="22"/>
        </w:rPr>
        <w:t>cted.</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1F9D58B4" w14:textId="77777777">
        <w:trPr>
          <w:jc w:val="center"/>
        </w:trPr>
        <w:tc>
          <w:tcPr>
            <w:tcW w:w="9747" w:type="dxa"/>
            <w:shd w:val="clear" w:color="auto" w:fill="F2F2F2"/>
            <w:tcMar>
              <w:top w:w="180" w:type="dxa"/>
              <w:left w:w="160" w:type="dxa"/>
              <w:bottom w:w="180" w:type="dxa"/>
              <w:right w:w="160" w:type="dxa"/>
            </w:tcMar>
          </w:tcPr>
          <w:p w14:paraId="48BD4217" w14:textId="77777777" w:rsidR="00E921BC" w:rsidRDefault="00DD34C6">
            <w:pPr>
              <w:jc w:val="center"/>
            </w:pPr>
            <w:r>
              <w:rPr>
                <w:rFonts w:ascii="Times New Roman" w:eastAsia="Times New Roman" w:hAnsi="Times New Roman"/>
                <w:b/>
                <w:color w:val="000000"/>
                <w:sz w:val="20"/>
              </w:rPr>
              <w:t>Figure 7: insert verified application screenshots</w:t>
            </w:r>
          </w:p>
        </w:tc>
      </w:tr>
    </w:tbl>
    <w:p w14:paraId="7260BDE4" w14:textId="77777777" w:rsidR="00E921BC" w:rsidRDefault="00DD34C6">
      <w:pPr>
        <w:pStyle w:val="ICESTNormal"/>
        <w:ind w:firstLine="0"/>
        <w:jc w:val="center"/>
      </w:pPr>
      <w:r>
        <w:rPr>
          <w:i/>
          <w:color w:val="000000"/>
        </w:rPr>
        <w:t>Figure 7. Curriculum-KAG programme-design interface: required screenshots.</w:t>
      </w:r>
    </w:p>
    <w:p w14:paraId="0461BF21" w14:textId="77777777" w:rsidR="00E921BC" w:rsidRDefault="00DD34C6">
      <w:pPr>
        <w:pStyle w:val="ICESTNormal"/>
        <w:ind w:firstLine="0"/>
      </w:pPr>
      <w:r>
        <w:rPr>
          <w:b/>
          <w:color w:val="000000"/>
          <w:sz w:val="16"/>
        </w:rPr>
        <w:t xml:space="preserve">Screenshot assembly instructions (remove before submission): </w:t>
      </w:r>
      <w:r>
        <w:rPr>
          <w:i/>
          <w:color w:val="000000"/>
          <w:sz w:val="16"/>
        </w:rPr>
        <w:t xml:space="preserve">Create a four-panel composite from REAL APPLICATION </w:t>
      </w:r>
      <w:r>
        <w:rPr>
          <w:i/>
          <w:color w:val="000000"/>
          <w:sz w:val="16"/>
        </w:rPr>
        <w:t>SCREENSHOTS, not generated UI. Panel A: the programme wizard showing classical/interdisciplinary selector, bachelor's/master's/doctorate level, one or two EPVO directions/groups, programme language, credits, goal, and the AI buttons for three goals and lea</w:t>
      </w:r>
      <w:r>
        <w:rPr>
          <w:i/>
          <w:color w:val="000000"/>
          <w:sz w:val="16"/>
        </w:rPr>
        <w:t>rning outcomes. Panel B: a generated semester plan with plan A/B/C selector, credit totals, cycle/component labels, optional course descriptions, and expandable quality sections. Panel C: the 'Why selected?' course card showing full LO text, AI score, EPVO</w:t>
      </w:r>
      <w:r>
        <w:rPr>
          <w:i/>
          <w:color w:val="000000"/>
          <w:sz w:val="16"/>
        </w:rPr>
        <w:t xml:space="preserve"> expert score, final strength, source, cycle, prerequisites/postrequisites, and expert confirmation buttons. Panel D: the futuristic semester graph with courses on the left, prerequisite/postrequisite arrows in the centre, and semester competencies on the </w:t>
      </w:r>
      <w:r>
        <w:rPr>
          <w:i/>
          <w:color w:val="000000"/>
          <w:sz w:val="16"/>
        </w:rPr>
        <w:t>right. Crop personal data, keep browser chrome out, use one consistent interface language, 300-dpi PNG; add thin navy borders and panel labels A-D without altering screen content.</w:t>
      </w:r>
    </w:p>
    <w:tbl>
      <w:tblPr>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ook w:val="04A0" w:firstRow="1" w:lastRow="0" w:firstColumn="1" w:lastColumn="0" w:noHBand="0" w:noVBand="1"/>
      </w:tblPr>
      <w:tblGrid>
        <w:gridCol w:w="5051"/>
      </w:tblGrid>
      <w:tr w:rsidR="00E921BC" w14:paraId="2B6887A9" w14:textId="77777777">
        <w:trPr>
          <w:jc w:val="center"/>
        </w:trPr>
        <w:tc>
          <w:tcPr>
            <w:tcW w:w="9747" w:type="dxa"/>
            <w:shd w:val="clear" w:color="auto" w:fill="F2F2F2"/>
            <w:tcMar>
              <w:top w:w="180" w:type="dxa"/>
              <w:left w:w="160" w:type="dxa"/>
              <w:bottom w:w="180" w:type="dxa"/>
              <w:right w:w="160" w:type="dxa"/>
            </w:tcMar>
          </w:tcPr>
          <w:p w14:paraId="34EE0CA9" w14:textId="77777777" w:rsidR="00E921BC" w:rsidRDefault="00DD34C6">
            <w:pPr>
              <w:jc w:val="center"/>
            </w:pPr>
            <w:r>
              <w:rPr>
                <w:rFonts w:ascii="Times New Roman" w:eastAsia="Times New Roman" w:hAnsi="Times New Roman"/>
                <w:b/>
                <w:color w:val="000000"/>
                <w:sz w:val="20"/>
              </w:rPr>
              <w:t>Figure 8: insert verified application screenshots</w:t>
            </w:r>
          </w:p>
        </w:tc>
      </w:tr>
    </w:tbl>
    <w:p w14:paraId="6429372F" w14:textId="77777777" w:rsidR="00E921BC" w:rsidRDefault="00DD34C6">
      <w:pPr>
        <w:pStyle w:val="ICESTNormal"/>
        <w:ind w:firstLine="0"/>
        <w:jc w:val="center"/>
      </w:pPr>
      <w:r>
        <w:rPr>
          <w:i/>
          <w:color w:val="000000"/>
        </w:rPr>
        <w:t>Figure 8. Registry compar</w:t>
      </w:r>
      <w:r>
        <w:rPr>
          <w:i/>
          <w:color w:val="000000"/>
        </w:rPr>
        <w:t>ison and quality-verification interface: required screenshots.</w:t>
      </w:r>
    </w:p>
    <w:p w14:paraId="1C36E948" w14:textId="77777777" w:rsidR="00E921BC" w:rsidRDefault="00DD34C6">
      <w:pPr>
        <w:pStyle w:val="ICESTNormal"/>
        <w:ind w:firstLine="0"/>
      </w:pPr>
      <w:r>
        <w:rPr>
          <w:b/>
          <w:color w:val="000000"/>
          <w:sz w:val="16"/>
        </w:rPr>
        <w:t xml:space="preserve">Screenshot assembly instructions (remove before submission): </w:t>
      </w:r>
      <w:r>
        <w:rPr>
          <w:i/>
          <w:color w:val="000000"/>
          <w:sz w:val="16"/>
        </w:rPr>
        <w:t xml:space="preserve">Create a two-panel composite from REAL APPLICATION SCREENSHOTS. Left panel: 'Compare with EPVO' for one generated interdisciplinary </w:t>
      </w:r>
      <w:r>
        <w:rPr>
          <w:i/>
          <w:color w:val="000000"/>
          <w:sz w:val="16"/>
        </w:rPr>
        <w:t>programme, showing several similar registry programmes, common and missing courses, Jaccard/containment indicators, typical courses, unique elements, and an action for adding a priority course. Right panel: the plan-quality dashboard with exact credits, se</w:t>
      </w:r>
      <w:r>
        <w:rPr>
          <w:i/>
          <w:color w:val="000000"/>
          <w:sz w:val="16"/>
        </w:rPr>
        <w:t>mester load, prerequisite violations, LO coverage sources, domain compliance, international checklist, Kazakhstan requirements when enabled, Dataset Passport, and Model Benchmark. Include a visible plan A/B/C selector and explanatory text that checklist co</w:t>
      </w:r>
      <w:r>
        <w:rPr>
          <w:i/>
          <w:color w:val="000000"/>
          <w:sz w:val="16"/>
        </w:rPr>
        <w:t>mpletion is not accreditation. Use the same programme and language in both panels, hide usernames and identifiers, crop empty margins, do not invent values, output 300-dpi PNG suitable for a two-column journal page.</w:t>
      </w:r>
    </w:p>
    <w:p w14:paraId="01A03585" w14:textId="77777777" w:rsidR="00E921BC" w:rsidRDefault="00DD34C6">
      <w:pPr>
        <w:keepNext/>
        <w:spacing w:before="120" w:after="40"/>
      </w:pPr>
      <w:r>
        <w:rPr>
          <w:rFonts w:ascii="Times New Roman" w:eastAsia="Times New Roman" w:hAnsi="Times New Roman"/>
          <w:b/>
          <w:color w:val="000000"/>
        </w:rPr>
        <w:t>9. Validity and Academic Use</w:t>
      </w:r>
    </w:p>
    <w:p w14:paraId="7A31D1EE" w14:textId="77777777" w:rsidR="00E921BC" w:rsidRDefault="00DD34C6">
      <w:pPr>
        <w:pStyle w:val="ICESTNormal"/>
        <w:ind w:firstLine="283"/>
      </w:pPr>
      <w:r>
        <w:rPr>
          <w:color w:val="000000"/>
          <w:sz w:val="22"/>
        </w:rPr>
        <w:t>Internal va</w:t>
      </w:r>
      <w:r>
        <w:rPr>
          <w:color w:val="000000"/>
          <w:sz w:val="22"/>
        </w:rPr>
        <w:t>lidation establishes software and structural validity: generated plans satisfy declared formal constraints, model experiments use programme-disjoint splits, and reported cohort metrics can be recomputed from saved artefacts. Content validity is supported b</w:t>
      </w:r>
      <w:r>
        <w:rPr>
          <w:color w:val="000000"/>
          <w:sz w:val="22"/>
        </w:rPr>
        <w:t>y the longitudinal EPVO corpus and by the separation of AI prediction from historical expert evidence. Construct validity is strengthened by reporting classification, ranking, provenance, semester alignment, and whole-plan feasibility as different measurem</w:t>
      </w:r>
      <w:r>
        <w:rPr>
          <w:color w:val="000000"/>
          <w:sz w:val="22"/>
        </w:rPr>
        <w:t>ents rather than compressing them into one opaque score.</w:t>
      </w:r>
    </w:p>
    <w:p w14:paraId="644F9484" w14:textId="77777777" w:rsidR="00E921BC" w:rsidRDefault="00DD34C6">
      <w:pPr>
        <w:pStyle w:val="ICESTNormal"/>
        <w:ind w:firstLine="283"/>
      </w:pPr>
      <w:r>
        <w:rPr>
          <w:color w:val="000000"/>
          <w:sz w:val="22"/>
        </w:rPr>
        <w:t xml:space="preserve">More than 80 classical and interdisciplinary programme configurations were successfully generated and reviewed during iterative engineering validation. For a fully reproducible numerical comparison, </w:t>
      </w:r>
      <w:r>
        <w:rPr>
          <w:color w:val="000000"/>
          <w:sz w:val="22"/>
        </w:rPr>
        <w:t>the present study uses a frozen six-programme cohort: three programmes in international mode and three programmes with Kazakhstan's protected local requirements. This cohort supports a controlled engineering comparison but not a population-level claim abou</w:t>
      </w:r>
      <w:r>
        <w:rPr>
          <w:color w:val="000000"/>
          <w:sz w:val="22"/>
        </w:rPr>
        <w:t>t every discipline. Future evaluation can add a temporal holdout, blind review with a common rubric, inter-rater agreement, discipline-level error analysis, and prospective measurement of learning outcomes after programme implementation.</w:t>
      </w:r>
    </w:p>
    <w:p w14:paraId="5C017779" w14:textId="77777777" w:rsidR="00E921BC" w:rsidRDefault="00DD34C6">
      <w:pPr>
        <w:pStyle w:val="ICESTNormal"/>
        <w:ind w:firstLine="283"/>
      </w:pPr>
      <w:r>
        <w:rPr>
          <w:color w:val="000000"/>
          <w:sz w:val="22"/>
        </w:rPr>
        <w:t>For practical depl</w:t>
      </w:r>
      <w:r>
        <w:rPr>
          <w:color w:val="000000"/>
          <w:sz w:val="22"/>
        </w:rPr>
        <w:t>oyment, the system acts as a co-designer. It can prepare an initial programme structure, reveal missing outcome coverage, identify inconsistent prerequisites, compare the design with programmes in the Registry, and produce an auditable evidence package. Th</w:t>
      </w:r>
      <w:r>
        <w:rPr>
          <w:color w:val="000000"/>
          <w:sz w:val="22"/>
        </w:rPr>
        <w:t>e responsible academic body still approves the programme goal, learning outcomes, course contents, assessment strategy, staff and infrastructure requirements, and compliance with the current legal edition of SCES RK.</w:t>
      </w:r>
    </w:p>
    <w:p w14:paraId="3F514FE6" w14:textId="77777777" w:rsidR="00E921BC" w:rsidRDefault="00DD34C6">
      <w:pPr>
        <w:pStyle w:val="ICESTNormal"/>
        <w:ind w:firstLine="283"/>
      </w:pPr>
      <w:r>
        <w:rPr>
          <w:color w:val="000000"/>
          <w:sz w:val="22"/>
        </w:rPr>
        <w:t xml:space="preserve">The distinction between a bridge </w:t>
      </w:r>
      <w:r>
        <w:rPr>
          <w:color w:val="000000"/>
          <w:sz w:val="22"/>
        </w:rPr>
        <w:t>module and a real EPVO course is preserved throughout the lifecycle. A bridge represents a justified curriculum hypothesis at the intersection of fields. It becomes an ordinary approved course only after an expert selects or edits its title, description, c</w:t>
      </w:r>
      <w:r>
        <w:rPr>
          <w:color w:val="000000"/>
          <w:sz w:val="22"/>
        </w:rPr>
        <w:t>redits, outcomes, prerequisites, and assessment approach. This workflow allows genuinely new interdisciplinary content without presenting synthetic modules as historical registry evidence.</w:t>
      </w:r>
    </w:p>
    <w:p w14:paraId="2D72F675" w14:textId="77777777" w:rsidR="00E921BC" w:rsidRDefault="00DD34C6">
      <w:pPr>
        <w:pStyle w:val="ICESTNormal"/>
        <w:ind w:firstLine="283"/>
      </w:pPr>
      <w:r>
        <w:rPr>
          <w:color w:val="000000"/>
          <w:sz w:val="22"/>
        </w:rPr>
        <w:t>The next research stage will optimise semester ranking directly und</w:t>
      </w:r>
      <w:r>
        <w:rPr>
          <w:color w:val="000000"/>
          <w:sz w:val="22"/>
        </w:rPr>
        <w:t>er credit and prerequisite constraints. Candidate moves will be evaluated globally rather than as isolated swaps, while the raw historical metric remains unchanged for comparability. Retrieval experiments will test programme-dependent hard negatives and li</w:t>
      </w:r>
      <w:r>
        <w:rPr>
          <w:color w:val="000000"/>
          <w:sz w:val="22"/>
        </w:rPr>
        <w:t>stwise expert-strength objectives. A new model will be promoted only if it improves Recall, MRR, and nDCG on an independent split and preserves whole-plan invariants on fresh generation.</w:t>
      </w:r>
    </w:p>
    <w:p w14:paraId="2E65C06B" w14:textId="77777777" w:rsidR="00E921BC" w:rsidRDefault="00DD34C6">
      <w:pPr>
        <w:keepNext/>
        <w:spacing w:before="120" w:after="40"/>
      </w:pPr>
      <w:r>
        <w:rPr>
          <w:rFonts w:ascii="Times New Roman" w:eastAsia="Times New Roman" w:hAnsi="Times New Roman"/>
          <w:b/>
          <w:color w:val="000000"/>
        </w:rPr>
        <w:t>9.1. Research Roadmap</w:t>
      </w:r>
    </w:p>
    <w:p w14:paraId="1093A184" w14:textId="77777777" w:rsidR="00E921BC" w:rsidRDefault="00DD34C6">
      <w:pPr>
        <w:pStyle w:val="ICESTNormal"/>
        <w:ind w:firstLine="283"/>
      </w:pPr>
      <w:r>
        <w:rPr>
          <w:color w:val="000000"/>
          <w:sz w:val="22"/>
        </w:rPr>
        <w:t>The first planned extension is a larger blind e</w:t>
      </w:r>
      <w:r>
        <w:rPr>
          <w:color w:val="000000"/>
          <w:sz w:val="22"/>
        </w:rPr>
        <w:t>xpert evaluation. Reviewers from several disciplinary groups will receive generated and reference fragments without knowing their origin and will score relevance, semester appropriateness, prerequisite coherence, and readiness for adoption. Inter-rater agr</w:t>
      </w:r>
      <w:r>
        <w:rPr>
          <w:color w:val="000000"/>
          <w:sz w:val="22"/>
        </w:rPr>
        <w:t>eement and confidence intervals will complement the existing qualitative demonstration.</w:t>
      </w:r>
    </w:p>
    <w:p w14:paraId="0AA7F3DD" w14:textId="77777777" w:rsidR="00E921BC" w:rsidRDefault="00DD34C6">
      <w:pPr>
        <w:pStyle w:val="ICESTNormal"/>
        <w:ind w:firstLine="283"/>
      </w:pPr>
      <w:r>
        <w:rPr>
          <w:color w:val="000000"/>
          <w:sz w:val="22"/>
        </w:rPr>
        <w:t>The second extension is temporal validation. Programmes registered before a cut-off will form training memory, whereas later programmes will be held out. This will test</w:t>
      </w:r>
      <w:r>
        <w:rPr>
          <w:color w:val="000000"/>
          <w:sz w:val="22"/>
        </w:rPr>
        <w:t xml:space="preserve"> whether the method predicts future academic choices rather than recalling contemporary duplicates. Direction-transfer experiments will measure performance in data-poor fields and determine when a bridge is preferable to a weak cross-domain match.</w:t>
      </w:r>
    </w:p>
    <w:p w14:paraId="68430D85" w14:textId="77777777" w:rsidR="00E921BC" w:rsidRDefault="00DD34C6">
      <w:pPr>
        <w:pStyle w:val="ICESTNormal"/>
        <w:ind w:firstLine="283"/>
      </w:pPr>
      <w:r>
        <w:rPr>
          <w:color w:val="000000"/>
          <w:sz w:val="22"/>
        </w:rPr>
        <w:t>The thir</w:t>
      </w:r>
      <w:r>
        <w:rPr>
          <w:color w:val="000000"/>
          <w:sz w:val="22"/>
        </w:rPr>
        <w:t>d extension is learning-to-rank with graded expert strength. Direct regression to 0, 0.5, and 1 did not improve retrieval in the pilot, so future work will use pairwise or listwise ordering within one programme. Hard negatives will be selected from the sam</w:t>
      </w:r>
      <w:r>
        <w:rPr>
          <w:color w:val="000000"/>
          <w:sz w:val="22"/>
        </w:rPr>
        <w:t>e level and nearby direction, making them semantically plausible but academically incorrect and therefore more informative than random negatives.</w:t>
      </w:r>
    </w:p>
    <w:p w14:paraId="6F6A95E8" w14:textId="77777777" w:rsidR="00E921BC" w:rsidRDefault="00DD34C6">
      <w:pPr>
        <w:pStyle w:val="ICESTNormal"/>
        <w:ind w:firstLine="283"/>
      </w:pPr>
      <w:r>
        <w:rPr>
          <w:color w:val="000000"/>
          <w:sz w:val="22"/>
        </w:rPr>
        <w:t xml:space="preserve">Finally, the curriculum graph can support syllabus generation, weekly topic allocation, assessment </w:t>
      </w:r>
      <w:r>
        <w:rPr>
          <w:color w:val="000000"/>
          <w:sz w:val="22"/>
        </w:rPr>
        <w:t>mapping, and longitudinal programme monitoring. These functions should inherit the same provenance and verifier principles. A generated syllabus will be treated as a draft linked to credits and LOs, while measured student achievement and expert revisions w</w:t>
      </w:r>
      <w:r>
        <w:rPr>
          <w:color w:val="000000"/>
          <w:sz w:val="22"/>
        </w:rPr>
        <w:t>ill close the continuous-improvement loop.</w:t>
      </w:r>
    </w:p>
    <w:p w14:paraId="6705E961" w14:textId="77777777" w:rsidR="00E921BC" w:rsidRDefault="00DD34C6">
      <w:pPr>
        <w:keepNext/>
        <w:spacing w:before="120" w:after="40"/>
      </w:pPr>
      <w:r>
        <w:rPr>
          <w:rFonts w:ascii="Times New Roman" w:eastAsia="Times New Roman" w:hAnsi="Times New Roman"/>
          <w:b/>
          <w:color w:val="000000"/>
        </w:rPr>
        <w:t>10. Conclusion</w:t>
      </w:r>
    </w:p>
    <w:p w14:paraId="68D71111" w14:textId="77777777" w:rsidR="00E921BC" w:rsidRDefault="00DD34C6">
      <w:pPr>
        <w:pStyle w:val="ICESTNormal"/>
        <w:ind w:firstLine="283"/>
      </w:pPr>
      <w:r>
        <w:rPr>
          <w:color w:val="000000"/>
          <w:sz w:val="22"/>
        </w:rPr>
        <w:t>Curriculum-KAG began as a method for designing interdisciplinary programmes at the intersection of two fields, such as IT and medicine or law and cybersecurity. During implementation, the same evide</w:t>
      </w:r>
      <w:r>
        <w:rPr>
          <w:color w:val="000000"/>
          <w:sz w:val="22"/>
        </w:rPr>
        <w:t>nce and constraint architecture proved suitable for classical single-field programmes. The resulting system now supports bachelor's, master's, and doctoral levels, one or two professional directions, international mode, and the documented local requirement</w:t>
      </w:r>
      <w:r>
        <w:rPr>
          <w:color w:val="000000"/>
          <w:sz w:val="22"/>
        </w:rPr>
        <w:t>s of Kazakhstan.</w:t>
      </w:r>
    </w:p>
    <w:p w14:paraId="1DB6A96C" w14:textId="77777777" w:rsidR="00E921BC" w:rsidRDefault="00DD34C6">
      <w:pPr>
        <w:pStyle w:val="ICESTNormal"/>
        <w:ind w:firstLine="283"/>
      </w:pPr>
      <w:r>
        <w:rPr>
          <w:color w:val="000000"/>
          <w:sz w:val="22"/>
        </w:rPr>
        <w:t>In practical terms, a university enters the programme type, level, fields, goal, and learning outcomes. Curriculum-KAG then searches the state expert corpus, proposes real courses, explains which outcome each course supports, constructs pr</w:t>
      </w:r>
      <w:r>
        <w:rPr>
          <w:color w:val="000000"/>
          <w:sz w:val="22"/>
        </w:rPr>
        <w:t>erequisite and postrequisite relations, balances credits by semester, and returns one or three alternatives. KAG is essential because retrieval is combined with a knowledge graph, provenance, expert evidence, and hard rules; a plausible but structurally in</w:t>
      </w:r>
      <w:r>
        <w:rPr>
          <w:color w:val="000000"/>
          <w:sz w:val="22"/>
        </w:rPr>
        <w:t>valid list cannot pass the verifier.</w:t>
      </w:r>
    </w:p>
    <w:p w14:paraId="038E4B76" w14:textId="77777777" w:rsidR="00E921BC" w:rsidRDefault="00DD34C6">
      <w:pPr>
        <w:pStyle w:val="ICESTNormal"/>
        <w:ind w:firstLine="283"/>
      </w:pPr>
      <w:r>
        <w:rPr>
          <w:color w:val="000000"/>
          <w:sz w:val="22"/>
        </w:rPr>
        <w:t>The experiments show that multilingual semantic retrieval improves after domain adaptation, programme-scoped expert memory improves ranking, and the constrained planner preserves complete-plan feasibility. International</w:t>
      </w:r>
      <w:r>
        <w:rPr>
          <w:color w:val="000000"/>
          <w:sz w:val="22"/>
        </w:rPr>
        <w:t>-mode plans reached 86.84% semantic-adjusted semester alignment, while plans following Kazakhstan's protected requirements reached 81.23%; both retained 100% profile provenance and zero hard violations in the reported cohort. More than 80 additional progra</w:t>
      </w:r>
      <w:r>
        <w:rPr>
          <w:color w:val="000000"/>
          <w:sz w:val="22"/>
        </w:rPr>
        <w:t>mme configurations were successfully exercised during functional testing.</w:t>
      </w:r>
    </w:p>
    <w:p w14:paraId="04F19C54" w14:textId="77777777" w:rsidR="00E921BC" w:rsidRDefault="00DD34C6">
      <w:pPr>
        <w:pStyle w:val="ICESTNormal"/>
        <w:ind w:firstLine="283"/>
      </w:pPr>
      <w:r>
        <w:rPr>
          <w:color w:val="000000"/>
          <w:sz w:val="22"/>
        </w:rPr>
        <w:t>The system is therefore best understood as a fast academic co-designer. It can substantially reduce routine search, mapping, and structural checking, but it does not replace a progra</w:t>
      </w:r>
      <w:r>
        <w:rPr>
          <w:color w:val="000000"/>
          <w:sz w:val="22"/>
        </w:rPr>
        <w:t xml:space="preserve">mme committee. Experts still approve the goal, learning outcomes, disputed relationships, bridge modules, assessment methods, staffing, infrastructure, and legal compliance. The remaining manual refinement is deliberately visible and recorded as feedback, </w:t>
      </w:r>
      <w:r>
        <w:rPr>
          <w:color w:val="000000"/>
          <w:sz w:val="22"/>
        </w:rPr>
        <w:t>making future versions more accurate and the final institutional decision auditable.</w:t>
      </w:r>
    </w:p>
    <w:p w14:paraId="4406E74E" w14:textId="77777777" w:rsidR="00E921BC" w:rsidRDefault="00DD34C6">
      <w:pPr>
        <w:keepNext/>
        <w:spacing w:before="120" w:after="40"/>
      </w:pPr>
      <w:r>
        <w:rPr>
          <w:rFonts w:ascii="Times New Roman" w:eastAsia="Times New Roman" w:hAnsi="Times New Roman"/>
          <w:b/>
          <w:color w:val="000000"/>
        </w:rPr>
        <w:t>Acknowledgements</w:t>
      </w:r>
    </w:p>
    <w:p w14:paraId="57E47C4B" w14:textId="77777777" w:rsidR="00E921BC" w:rsidRDefault="00DD34C6">
      <w:pPr>
        <w:pStyle w:val="ICESTNormal"/>
        <w:ind w:firstLine="283"/>
      </w:pPr>
      <w:r>
        <w:rPr>
          <w:color w:val="000000"/>
          <w:sz w:val="22"/>
        </w:rPr>
        <w:t>This research and the scientific internship at Óbuda University were supported by a grant from the private Shakhmardan Yessenov Science and Education Foun</w:t>
      </w:r>
      <w:r>
        <w:rPr>
          <w:color w:val="000000"/>
          <w:sz w:val="22"/>
        </w:rPr>
        <w:t xml:space="preserve">dation, founded by Galimzhan Yessenov, under the 2026 Scientific Internships in World Laboratories programme. The author also thanks the academic experts who provided qualitative feedback during system demonstrations. No external accreditation decision is </w:t>
      </w:r>
      <w:r>
        <w:rPr>
          <w:color w:val="000000"/>
          <w:sz w:val="22"/>
        </w:rPr>
        <w:t>claimed.</w:t>
      </w:r>
    </w:p>
    <w:p w14:paraId="738124BB" w14:textId="77777777" w:rsidR="00E921BC" w:rsidRDefault="00DD34C6">
      <w:pPr>
        <w:keepNext/>
        <w:spacing w:before="120" w:after="40"/>
      </w:pPr>
      <w:r>
        <w:rPr>
          <w:rFonts w:ascii="Times New Roman" w:eastAsia="Times New Roman" w:hAnsi="Times New Roman"/>
          <w:b/>
          <w:color w:val="000000"/>
        </w:rPr>
        <w:t>References</w:t>
      </w:r>
    </w:p>
    <w:p w14:paraId="3C6B11D2" w14:textId="77777777" w:rsidR="00E921BC" w:rsidRDefault="00DD34C6">
      <w:pPr>
        <w:pStyle w:val="Els-body-text"/>
        <w:ind w:firstLine="0"/>
      </w:pPr>
      <w:r>
        <w:rPr>
          <w:rFonts w:eastAsia="Times New Roman"/>
          <w:color w:val="000000"/>
          <w:sz w:val="18"/>
        </w:rPr>
        <w:t>[1] Biggs, J. (1996). Enhancing teaching through constructive alignment. Higher Education, 32, 347-364.</w:t>
      </w:r>
    </w:p>
    <w:p w14:paraId="729770BD" w14:textId="77777777" w:rsidR="00E921BC" w:rsidRDefault="00DD34C6">
      <w:pPr>
        <w:pStyle w:val="Els-body-text"/>
        <w:ind w:firstLine="0"/>
      </w:pPr>
      <w:r>
        <w:rPr>
          <w:rFonts w:eastAsia="Times New Roman"/>
          <w:color w:val="000000"/>
          <w:sz w:val="18"/>
        </w:rPr>
        <w:t>[2] Harden, R. M. (2007). Outcome-based education: the future is today. Medical Teacher, 29(7), 625-629.</w:t>
      </w:r>
    </w:p>
    <w:p w14:paraId="36CCFF7E" w14:textId="77777777" w:rsidR="00E921BC" w:rsidRDefault="00DD34C6">
      <w:pPr>
        <w:pStyle w:val="Els-body-text"/>
        <w:ind w:firstLine="0"/>
      </w:pPr>
      <w:r>
        <w:rPr>
          <w:rFonts w:eastAsia="Times New Roman"/>
          <w:color w:val="000000"/>
          <w:sz w:val="18"/>
        </w:rPr>
        <w:t>[3] Reimers, N., &amp; Gurevych</w:t>
      </w:r>
      <w:r>
        <w:rPr>
          <w:rFonts w:eastAsia="Times New Roman"/>
          <w:color w:val="000000"/>
          <w:sz w:val="18"/>
        </w:rPr>
        <w:t>, I. (2019). Sentence-BERT: Sentence embeddings using Siamese BERT-networks. EMNLP-IJCNLP, 3982-3992.</w:t>
      </w:r>
    </w:p>
    <w:p w14:paraId="71724FEC" w14:textId="77777777" w:rsidR="00E921BC" w:rsidRDefault="00DD34C6">
      <w:pPr>
        <w:pStyle w:val="Els-body-text"/>
        <w:ind w:firstLine="0"/>
      </w:pPr>
      <w:r>
        <w:rPr>
          <w:rFonts w:eastAsia="Times New Roman"/>
          <w:color w:val="000000"/>
          <w:sz w:val="18"/>
        </w:rPr>
        <w:t>[4] Robertson, S., &amp; Zaragoza, H. (2009). The probabilistic relevance framework: BM25 and beyond. Foundations and Trends in Information Retrieval, 3(4), 3</w:t>
      </w:r>
      <w:r>
        <w:rPr>
          <w:rFonts w:eastAsia="Times New Roman"/>
          <w:color w:val="000000"/>
          <w:sz w:val="18"/>
        </w:rPr>
        <w:t>33-389.</w:t>
      </w:r>
    </w:p>
    <w:p w14:paraId="4971180E" w14:textId="77777777" w:rsidR="00E921BC" w:rsidRDefault="00DD34C6">
      <w:pPr>
        <w:pStyle w:val="Els-body-text"/>
        <w:ind w:firstLine="0"/>
      </w:pPr>
      <w:r>
        <w:rPr>
          <w:rFonts w:eastAsia="Times New Roman"/>
          <w:color w:val="000000"/>
          <w:sz w:val="18"/>
        </w:rPr>
        <w:t>[5] Lewis, P., et al. (2020). Retrieval-augmented generation for knowledge-intensive NLP tasks. Advances in Neural Information Processing Systems, 33, 9459-9474.</w:t>
      </w:r>
    </w:p>
    <w:p w14:paraId="12B4ACBA" w14:textId="77777777" w:rsidR="00E921BC" w:rsidRDefault="00DD34C6">
      <w:pPr>
        <w:pStyle w:val="Els-body-text"/>
        <w:ind w:firstLine="0"/>
      </w:pPr>
      <w:r>
        <w:rPr>
          <w:rFonts w:eastAsia="Times New Roman"/>
          <w:color w:val="000000"/>
          <w:sz w:val="18"/>
        </w:rPr>
        <w:t>[6] Deb, K., Pratap, A., Agarwal, S., &amp; Meyarivan, T. (2002). A fast and elitist multi</w:t>
      </w:r>
      <w:r>
        <w:rPr>
          <w:rFonts w:eastAsia="Times New Roman"/>
          <w:color w:val="000000"/>
          <w:sz w:val="18"/>
        </w:rPr>
        <w:t>objective genetic algorithm: NSGA-II. IEEE Transactions on Evolutionary Computation, 6(2), 182-197.</w:t>
      </w:r>
    </w:p>
    <w:p w14:paraId="385314AB" w14:textId="77777777" w:rsidR="00E921BC" w:rsidRDefault="00DD34C6">
      <w:pPr>
        <w:pStyle w:val="Els-body-text"/>
        <w:ind w:firstLine="0"/>
      </w:pPr>
      <w:r>
        <w:rPr>
          <w:rFonts w:eastAsia="Times New Roman"/>
          <w:color w:val="000000"/>
          <w:sz w:val="18"/>
        </w:rPr>
        <w:t>[7] Kipf, T. N., &amp; Welling, M. (2017). Semi-supervised classification with graph convolutional networks. ICLR.</w:t>
      </w:r>
    </w:p>
    <w:p w14:paraId="664CA754" w14:textId="77777777" w:rsidR="00E921BC" w:rsidRDefault="00DD34C6">
      <w:pPr>
        <w:pStyle w:val="Els-body-text"/>
        <w:ind w:firstLine="0"/>
      </w:pPr>
      <w:r>
        <w:rPr>
          <w:rFonts w:eastAsia="Times New Roman"/>
          <w:color w:val="000000"/>
          <w:sz w:val="18"/>
        </w:rPr>
        <w:t>[8] Hamilton, W. L., Ying, R., &amp; Leskovec, J.</w:t>
      </w:r>
      <w:r>
        <w:rPr>
          <w:rFonts w:eastAsia="Times New Roman"/>
          <w:color w:val="000000"/>
          <w:sz w:val="18"/>
        </w:rPr>
        <w:t xml:space="preserve"> (2017). Inductive representation learning on large graphs. NeurIPS, 1024-1034.</w:t>
      </w:r>
    </w:p>
    <w:p w14:paraId="25BC3F19" w14:textId="77777777" w:rsidR="00E921BC" w:rsidRDefault="00DD34C6">
      <w:pPr>
        <w:pStyle w:val="Els-body-text"/>
        <w:ind w:firstLine="0"/>
      </w:pPr>
      <w:r>
        <w:rPr>
          <w:rFonts w:eastAsia="Times New Roman"/>
          <w:color w:val="000000"/>
          <w:sz w:val="18"/>
        </w:rPr>
        <w:t>[9] Hochreiter, S., &amp; Schmidhuber, J. (1997). Long short-term memory. Neural Computation, 9(8), 1735-1780.</w:t>
      </w:r>
    </w:p>
    <w:p w14:paraId="41CD660B" w14:textId="77777777" w:rsidR="00E921BC" w:rsidRDefault="00DD34C6">
      <w:pPr>
        <w:pStyle w:val="Els-body-text"/>
        <w:ind w:firstLine="0"/>
      </w:pPr>
      <w:r>
        <w:rPr>
          <w:rFonts w:eastAsia="Times New Roman"/>
          <w:color w:val="000000"/>
          <w:sz w:val="18"/>
        </w:rPr>
        <w:t>[10] Gebru, T., et al. (2021). Datasheets for datasets. Communication</w:t>
      </w:r>
      <w:r>
        <w:rPr>
          <w:rFonts w:eastAsia="Times New Roman"/>
          <w:color w:val="000000"/>
          <w:sz w:val="18"/>
        </w:rPr>
        <w:t>s of the ACM, 64(12), 86-92.</w:t>
      </w:r>
    </w:p>
    <w:p w14:paraId="7FD0842A" w14:textId="77777777" w:rsidR="00E921BC" w:rsidRDefault="00DD34C6">
      <w:pPr>
        <w:pStyle w:val="Els-body-text"/>
        <w:ind w:firstLine="0"/>
      </w:pPr>
      <w:r>
        <w:rPr>
          <w:rFonts w:eastAsia="Times New Roman"/>
          <w:color w:val="000000"/>
          <w:sz w:val="18"/>
        </w:rPr>
        <w:t>[11] Mitchell, M., et al. (2019). Model cards for model reporting. FAT* 2019, 220-229.</w:t>
      </w:r>
    </w:p>
    <w:p w14:paraId="7D6B4D18" w14:textId="77777777" w:rsidR="00E921BC" w:rsidRDefault="00DD34C6">
      <w:pPr>
        <w:pStyle w:val="Els-body-text"/>
        <w:ind w:firstLine="0"/>
      </w:pPr>
      <w:r>
        <w:rPr>
          <w:rFonts w:eastAsia="Times New Roman"/>
          <w:color w:val="000000"/>
          <w:sz w:val="18"/>
        </w:rPr>
        <w:t xml:space="preserve">[12] Unified Higher Education Platform of the Republic of Kazakhstan. Registry of Educational Programs. </w:t>
      </w:r>
      <w:hyperlink r:id="rId9" w:anchor="/register/education_program">
        <w:r>
          <w:rPr>
            <w:color w:val="0563C1"/>
            <w:sz w:val="18"/>
            <w:u w:val="single"/>
          </w:rPr>
          <w:t>https://epvo.kz/#/register/education_program</w:t>
        </w:r>
      </w:hyperlink>
    </w:p>
    <w:p w14:paraId="18798C14" w14:textId="77777777" w:rsidR="00E921BC" w:rsidRDefault="00DD34C6">
      <w:pPr>
        <w:pStyle w:val="Els-body-text"/>
        <w:ind w:firstLine="0"/>
      </w:pPr>
      <w:r>
        <w:rPr>
          <w:rFonts w:eastAsia="Times New Roman"/>
          <w:color w:val="000000"/>
          <w:sz w:val="18"/>
        </w:rPr>
        <w:t>[13] Ministry of Science and Higher Education of the Republic of Kazakhstan. State Compulsory Standards of Higher and Postgraduate Education, revision dated May 4, 2026.</w:t>
      </w:r>
    </w:p>
    <w:p w14:paraId="09FFA692" w14:textId="77777777" w:rsidR="00E921BC" w:rsidRDefault="00DD34C6">
      <w:pPr>
        <w:pStyle w:val="Els-body-text"/>
        <w:ind w:firstLine="0"/>
      </w:pPr>
      <w:r>
        <w:rPr>
          <w:rFonts w:eastAsia="Times New Roman"/>
          <w:color w:val="000000"/>
          <w:sz w:val="18"/>
        </w:rPr>
        <w:t>[14] ABE</w:t>
      </w:r>
      <w:r>
        <w:rPr>
          <w:rFonts w:eastAsia="Times New Roman"/>
          <w:color w:val="000000"/>
          <w:sz w:val="18"/>
        </w:rPr>
        <w:t>T. (2025). Criteria for Accrediting Computing Programs.</w:t>
      </w:r>
    </w:p>
    <w:p w14:paraId="2FA5F792" w14:textId="77777777" w:rsidR="00E921BC" w:rsidRDefault="00DD34C6">
      <w:pPr>
        <w:pStyle w:val="Els-body-text"/>
        <w:ind w:firstLine="0"/>
      </w:pPr>
      <w:r>
        <w:rPr>
          <w:rFonts w:eastAsia="Times New Roman"/>
          <w:color w:val="000000"/>
          <w:sz w:val="18"/>
        </w:rPr>
        <w:t>[15] Crawley, E. F., Malmqvist, J., Östlund, S., Brodeur, D. R., &amp; Edström, K. (2014). Rethinking Engineering Education: The CDIO Approach. Springer.</w:t>
      </w:r>
    </w:p>
    <w:p w14:paraId="0D176F4A" w14:textId="77777777" w:rsidR="00E921BC" w:rsidRDefault="00DD34C6">
      <w:pPr>
        <w:pStyle w:val="Els-body-text"/>
        <w:ind w:firstLine="0"/>
      </w:pPr>
      <w:r>
        <w:rPr>
          <w:rFonts w:eastAsia="Times New Roman"/>
          <w:color w:val="000000"/>
          <w:sz w:val="18"/>
        </w:rPr>
        <w:t xml:space="preserve">[16] González, J., &amp; Wagenaar, R. (Eds.). (2003). </w:t>
      </w:r>
      <w:r>
        <w:rPr>
          <w:rFonts w:eastAsia="Times New Roman"/>
          <w:color w:val="000000"/>
          <w:sz w:val="18"/>
        </w:rPr>
        <w:t>Tuning Educational Structures in Europe. University of Deusto.</w:t>
      </w:r>
    </w:p>
    <w:p w14:paraId="571515CA" w14:textId="77777777" w:rsidR="00E921BC" w:rsidRDefault="00DD34C6">
      <w:pPr>
        <w:pStyle w:val="Els-body-text"/>
        <w:ind w:firstLine="0"/>
      </w:pPr>
      <w:r>
        <w:rPr>
          <w:rFonts w:eastAsia="Times New Roman"/>
          <w:color w:val="000000"/>
          <w:sz w:val="18"/>
        </w:rPr>
        <w:t>[17] Jantassova, D., Kozhanov, M., &amp; Shebalina, O. (2021). Digital platform as a tool for internationalization: Model for formation of international competences' database applying the hierarchy</w:t>
      </w:r>
      <w:r>
        <w:rPr>
          <w:rFonts w:eastAsia="Times New Roman"/>
          <w:color w:val="000000"/>
          <w:sz w:val="18"/>
        </w:rPr>
        <w:t xml:space="preserve"> analysis method. Journal of Theoretical and Applied Information Technology, 99(21), 4942-4957. </w:t>
      </w:r>
      <w:hyperlink r:id="rId10">
        <w:r>
          <w:rPr>
            <w:color w:val="0563C1"/>
            <w:sz w:val="18"/>
            <w:u w:val="single"/>
          </w:rPr>
          <w:t>https://www.scopus.com/pages/publications/85119289073</w:t>
        </w:r>
      </w:hyperlink>
    </w:p>
    <w:p w14:paraId="5EF1D127" w14:textId="77777777" w:rsidR="00E921BC" w:rsidRDefault="00DD34C6">
      <w:pPr>
        <w:pStyle w:val="Els-body-text"/>
        <w:ind w:firstLine="0"/>
      </w:pPr>
      <w:r>
        <w:rPr>
          <w:rFonts w:eastAsia="Times New Roman"/>
          <w:color w:val="000000"/>
          <w:sz w:val="18"/>
        </w:rPr>
        <w:t xml:space="preserve">[18] Kozhanov, M., Mosavi, A., Amirov, A., Kaibassova, D., Poser, V., Shakhatova, A., Lira, L., &amp; Eigner, G. (2024). Syllabus design and planning with artificial intelligence and the potential of generative AI. In 2024 IEEE 24th International Symposium on </w:t>
      </w:r>
      <w:r>
        <w:rPr>
          <w:rFonts w:eastAsia="Times New Roman"/>
          <w:color w:val="000000"/>
          <w:sz w:val="18"/>
        </w:rPr>
        <w:t xml:space="preserve">Computational Intelligence and Informatics, 257-264. </w:t>
      </w:r>
      <w:hyperlink r:id="rId11">
        <w:r>
          <w:rPr>
            <w:color w:val="0563C1"/>
            <w:sz w:val="18"/>
            <w:u w:val="single"/>
          </w:rPr>
          <w:t>https://doi.org/10.1109/CINTI63048.2024.10830766</w:t>
        </w:r>
      </w:hyperlink>
    </w:p>
    <w:p w14:paraId="7DF1BF26" w14:textId="77777777" w:rsidR="00E921BC" w:rsidRDefault="00DD34C6">
      <w:pPr>
        <w:pStyle w:val="Els-body-text"/>
        <w:ind w:firstLine="0"/>
      </w:pPr>
      <w:r>
        <w:rPr>
          <w:rFonts w:eastAsia="Times New Roman"/>
          <w:color w:val="000000"/>
          <w:sz w:val="18"/>
        </w:rPr>
        <w:t xml:space="preserve">[19] Kozhanov, M., &amp; Várkonyi-Kóczy, A. R. (2025). Modelling curricula with GNN and LSTM for link and sequence prediction. Eurasian Journal of Mathematical and Computer Applications, 13(4), 159-167. </w:t>
      </w:r>
      <w:hyperlink r:id="rId12">
        <w:r>
          <w:rPr>
            <w:color w:val="0563C1"/>
            <w:sz w:val="18"/>
            <w:u w:val="single"/>
          </w:rPr>
          <w:t>https://doi.org/10.32523/2306-6172-2025-13-4-159-167</w:t>
        </w:r>
      </w:hyperlink>
      <w:r>
        <w:rPr>
          <w:rFonts w:eastAsia="Times New Roman"/>
          <w:color w:val="000000"/>
          <w:sz w:val="18"/>
        </w:rPr>
        <w:t xml:space="preserve">; </w:t>
      </w:r>
      <w:hyperlink r:id="rId13">
        <w:r>
          <w:rPr>
            <w:color w:val="0563C1"/>
            <w:sz w:val="18"/>
            <w:u w:val="single"/>
          </w:rPr>
          <w:t>https://www.scopus.com/pages/publications/105027578723</w:t>
        </w:r>
      </w:hyperlink>
    </w:p>
    <w:p w14:paraId="3E3F09EB" w14:textId="77777777" w:rsidR="00E921BC" w:rsidRDefault="00DD34C6">
      <w:pPr>
        <w:pStyle w:val="Els-body-text"/>
        <w:ind w:firstLine="0"/>
      </w:pPr>
      <w:r>
        <w:rPr>
          <w:rFonts w:eastAsia="Times New Roman"/>
          <w:color w:val="000000"/>
          <w:sz w:val="18"/>
        </w:rPr>
        <w:t>[20] Kozhanov, M., Makó, C., Póser, V., Eigner, G., &amp; Mosa</w:t>
      </w:r>
      <w:r>
        <w:rPr>
          <w:rFonts w:eastAsia="Times New Roman"/>
          <w:color w:val="000000"/>
          <w:sz w:val="18"/>
        </w:rPr>
        <w:t xml:space="preserve">vi, A. (2026). Knowledge Augmented Generation for Curriculum Planning. Eurasian Journal of Mathematical and Computer Applications, 14(1), 17-34. </w:t>
      </w:r>
      <w:hyperlink r:id="rId14">
        <w:r>
          <w:rPr>
            <w:color w:val="0563C1"/>
            <w:sz w:val="18"/>
            <w:u w:val="single"/>
          </w:rPr>
          <w:t>https://doi.org/10.32523/2306-6172-2026-1</w:t>
        </w:r>
        <w:r>
          <w:rPr>
            <w:color w:val="0563C1"/>
            <w:sz w:val="18"/>
            <w:u w:val="single"/>
          </w:rPr>
          <w:t>4-1-17-34</w:t>
        </w:r>
      </w:hyperlink>
      <w:r>
        <w:rPr>
          <w:rFonts w:eastAsia="Times New Roman"/>
          <w:color w:val="000000"/>
          <w:sz w:val="18"/>
        </w:rPr>
        <w:t xml:space="preserve">; </w:t>
      </w:r>
      <w:hyperlink r:id="rId15">
        <w:r>
          <w:rPr>
            <w:color w:val="0563C1"/>
            <w:sz w:val="18"/>
            <w:u w:val="single"/>
          </w:rPr>
          <w:t>https://www.scopus.com/pages/publications/105035219019</w:t>
        </w:r>
      </w:hyperlink>
    </w:p>
    <w:p w14:paraId="136C529E" w14:textId="77777777" w:rsidR="00E921BC" w:rsidRDefault="00DD34C6">
      <w:pPr>
        <w:pStyle w:val="Els-body-text"/>
        <w:ind w:firstLine="0"/>
      </w:pPr>
      <w:r>
        <w:rPr>
          <w:rFonts w:eastAsia="Times New Roman"/>
          <w:color w:val="000000"/>
          <w:sz w:val="18"/>
        </w:rPr>
        <w:t>[21] Najjar-Ghabel, S., Daneshpour, A., Amirov, A., Yousefimehr, B., &amp; Kozhanov, M. (2026). Deep learning and gradie</w:t>
      </w:r>
      <w:r>
        <w:rPr>
          <w:rFonts w:eastAsia="Times New Roman"/>
          <w:color w:val="000000"/>
          <w:sz w:val="18"/>
        </w:rPr>
        <w:t xml:space="preserve">nt boosting for predicting educational attainment based on socioeconomic and regional features. Eurasian Journal of Mathematical and Computer Applications, 14(2), 95-114. </w:t>
      </w:r>
      <w:hyperlink r:id="rId16">
        <w:r>
          <w:rPr>
            <w:color w:val="0563C1"/>
            <w:sz w:val="18"/>
            <w:u w:val="single"/>
          </w:rPr>
          <w:t>https://doi.or</w:t>
        </w:r>
        <w:r>
          <w:rPr>
            <w:color w:val="0563C1"/>
            <w:sz w:val="18"/>
            <w:u w:val="single"/>
          </w:rPr>
          <w:t>g/10.32523/2306-6172-2026-14-2-95-114</w:t>
        </w:r>
      </w:hyperlink>
      <w:r>
        <w:rPr>
          <w:rFonts w:eastAsia="Times New Roman"/>
          <w:color w:val="000000"/>
          <w:sz w:val="18"/>
        </w:rPr>
        <w:t xml:space="preserve">; </w:t>
      </w:r>
      <w:hyperlink r:id="rId17">
        <w:r>
          <w:rPr>
            <w:color w:val="0563C1"/>
            <w:sz w:val="18"/>
            <w:u w:val="single"/>
          </w:rPr>
          <w:t>https://www.scopus.com/pages/publications/105043909947</w:t>
        </w:r>
      </w:hyperlink>
    </w:p>
    <w:sectPr w:rsidR="00E921BC" w:rsidSect="00B85B29">
      <w:type w:val="continuous"/>
      <w:pgSz w:w="11907" w:h="16839" w:code="9"/>
      <w:pgMar w:top="1138" w:right="1022" w:bottom="1138" w:left="1138" w:header="720" w:footer="720" w:gutter="0"/>
      <w:cols w:num="2"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7EE17D" w14:textId="77777777" w:rsidR="00897A5E" w:rsidRDefault="00897A5E" w:rsidP="00110ACC">
      <w:pPr>
        <w:spacing w:after="0" w:line="240" w:lineRule="auto"/>
      </w:pPr>
      <w:r>
        <w:separator/>
      </w:r>
    </w:p>
  </w:endnote>
  <w:endnote w:type="continuationSeparator" w:id="0">
    <w:p w14:paraId="0E7D7D88" w14:textId="77777777" w:rsidR="00897A5E" w:rsidRDefault="00897A5E" w:rsidP="00110A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AA2D7F" w14:textId="77777777" w:rsidR="00897A5E" w:rsidRDefault="00897A5E" w:rsidP="00110ACC">
      <w:pPr>
        <w:spacing w:after="0" w:line="240" w:lineRule="auto"/>
      </w:pPr>
      <w:r>
        <w:separator/>
      </w:r>
    </w:p>
  </w:footnote>
  <w:footnote w:type="continuationSeparator" w:id="0">
    <w:p w14:paraId="52D810EC" w14:textId="77777777" w:rsidR="00897A5E" w:rsidRDefault="00897A5E" w:rsidP="00110A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EB85185"/>
    <w:multiLevelType w:val="hybridMultilevel"/>
    <w:tmpl w:val="B05C6C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E067978"/>
    <w:multiLevelType w:val="hybridMultilevel"/>
    <w:tmpl w:val="4CF8346E"/>
    <w:lvl w:ilvl="0" w:tplc="618EF29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0975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A9486B"/>
    <w:multiLevelType w:val="hybridMultilevel"/>
    <w:tmpl w:val="795E9E04"/>
    <w:lvl w:ilvl="0" w:tplc="CEAC30E8">
      <w:start w:val="3"/>
      <w:numFmt w:val="decimal"/>
      <w:pStyle w:val="ICESTRefertext"/>
      <w:lvlText w:val="[%1]"/>
      <w:lvlJc w:val="left"/>
      <w:pPr>
        <w:tabs>
          <w:tab w:val="num" w:pos="720"/>
        </w:tabs>
        <w:ind w:left="357" w:hanging="357"/>
      </w:pPr>
      <w:rPr>
        <w:rFonts w:ascii="Times New Roman" w:hAnsi="Times New Roman" w:cs="Times New Roman" w:hint="default"/>
        <w:b w:val="0"/>
        <w:i w:val="0"/>
        <w:sz w:val="22"/>
        <w:szCs w:val="24"/>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684C7551"/>
    <w:multiLevelType w:val="multilevel"/>
    <w:tmpl w:val="D1B45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0ACC"/>
    <w:rsid w:val="0001514D"/>
    <w:rsid w:val="00027124"/>
    <w:rsid w:val="00046F08"/>
    <w:rsid w:val="00052093"/>
    <w:rsid w:val="00052D56"/>
    <w:rsid w:val="000544D5"/>
    <w:rsid w:val="00087827"/>
    <w:rsid w:val="0009060C"/>
    <w:rsid w:val="000A481E"/>
    <w:rsid w:val="000C15F1"/>
    <w:rsid w:val="000C1CE4"/>
    <w:rsid w:val="000C6B51"/>
    <w:rsid w:val="000D02CA"/>
    <w:rsid w:val="000E1E65"/>
    <w:rsid w:val="000F67A6"/>
    <w:rsid w:val="00110ACC"/>
    <w:rsid w:val="00147DDB"/>
    <w:rsid w:val="00183177"/>
    <w:rsid w:val="00194C87"/>
    <w:rsid w:val="0019766B"/>
    <w:rsid w:val="001A0310"/>
    <w:rsid w:val="001C5A51"/>
    <w:rsid w:val="001D0063"/>
    <w:rsid w:val="001E6EE1"/>
    <w:rsid w:val="001F4410"/>
    <w:rsid w:val="001F5558"/>
    <w:rsid w:val="00200146"/>
    <w:rsid w:val="0020025E"/>
    <w:rsid w:val="002266EA"/>
    <w:rsid w:val="00271490"/>
    <w:rsid w:val="00273A90"/>
    <w:rsid w:val="00286E77"/>
    <w:rsid w:val="00297F8C"/>
    <w:rsid w:val="002A4059"/>
    <w:rsid w:val="002B27AE"/>
    <w:rsid w:val="002C7B00"/>
    <w:rsid w:val="00307B08"/>
    <w:rsid w:val="00335435"/>
    <w:rsid w:val="00345E98"/>
    <w:rsid w:val="003A6D8E"/>
    <w:rsid w:val="003C5116"/>
    <w:rsid w:val="003E1ABD"/>
    <w:rsid w:val="003F0B9D"/>
    <w:rsid w:val="004021DB"/>
    <w:rsid w:val="00483A17"/>
    <w:rsid w:val="004909B9"/>
    <w:rsid w:val="004B3FCC"/>
    <w:rsid w:val="004B6EBE"/>
    <w:rsid w:val="004C0BB9"/>
    <w:rsid w:val="00511EA0"/>
    <w:rsid w:val="005330CD"/>
    <w:rsid w:val="00572761"/>
    <w:rsid w:val="005B272D"/>
    <w:rsid w:val="005D303D"/>
    <w:rsid w:val="005F73BF"/>
    <w:rsid w:val="0060181E"/>
    <w:rsid w:val="006065D1"/>
    <w:rsid w:val="006241AF"/>
    <w:rsid w:val="006433B8"/>
    <w:rsid w:val="0065347C"/>
    <w:rsid w:val="00654F3B"/>
    <w:rsid w:val="006557D0"/>
    <w:rsid w:val="0065752C"/>
    <w:rsid w:val="006663C8"/>
    <w:rsid w:val="00691FB8"/>
    <w:rsid w:val="006F4973"/>
    <w:rsid w:val="00700244"/>
    <w:rsid w:val="0070188A"/>
    <w:rsid w:val="00704F9A"/>
    <w:rsid w:val="007223F2"/>
    <w:rsid w:val="00730D9E"/>
    <w:rsid w:val="007D35E5"/>
    <w:rsid w:val="007D5851"/>
    <w:rsid w:val="007E0199"/>
    <w:rsid w:val="007F1E2F"/>
    <w:rsid w:val="007F3140"/>
    <w:rsid w:val="00805CB8"/>
    <w:rsid w:val="00845314"/>
    <w:rsid w:val="00890BA4"/>
    <w:rsid w:val="00891F32"/>
    <w:rsid w:val="00895290"/>
    <w:rsid w:val="00897A5E"/>
    <w:rsid w:val="008A0056"/>
    <w:rsid w:val="008C4273"/>
    <w:rsid w:val="008E38E5"/>
    <w:rsid w:val="008E5940"/>
    <w:rsid w:val="008F7AE4"/>
    <w:rsid w:val="00920C71"/>
    <w:rsid w:val="009453D5"/>
    <w:rsid w:val="009503D0"/>
    <w:rsid w:val="00973441"/>
    <w:rsid w:val="0099751F"/>
    <w:rsid w:val="00A016A2"/>
    <w:rsid w:val="00A1732B"/>
    <w:rsid w:val="00A17D31"/>
    <w:rsid w:val="00A324D1"/>
    <w:rsid w:val="00A47999"/>
    <w:rsid w:val="00AA4529"/>
    <w:rsid w:val="00AF6B63"/>
    <w:rsid w:val="00B60C56"/>
    <w:rsid w:val="00B76FF5"/>
    <w:rsid w:val="00B80BDB"/>
    <w:rsid w:val="00B85B29"/>
    <w:rsid w:val="00BA085E"/>
    <w:rsid w:val="00BB6337"/>
    <w:rsid w:val="00BC0532"/>
    <w:rsid w:val="00BD0A6C"/>
    <w:rsid w:val="00C245C5"/>
    <w:rsid w:val="00C54E60"/>
    <w:rsid w:val="00C55984"/>
    <w:rsid w:val="00C772A3"/>
    <w:rsid w:val="00C86DED"/>
    <w:rsid w:val="00CB19C3"/>
    <w:rsid w:val="00CB76D6"/>
    <w:rsid w:val="00CC3222"/>
    <w:rsid w:val="00CD3112"/>
    <w:rsid w:val="00CD3561"/>
    <w:rsid w:val="00CE6907"/>
    <w:rsid w:val="00D01CAF"/>
    <w:rsid w:val="00D05E5C"/>
    <w:rsid w:val="00D129B8"/>
    <w:rsid w:val="00D17634"/>
    <w:rsid w:val="00D46066"/>
    <w:rsid w:val="00D75918"/>
    <w:rsid w:val="00D81CEF"/>
    <w:rsid w:val="00DA6BF1"/>
    <w:rsid w:val="00DC19B1"/>
    <w:rsid w:val="00DD2463"/>
    <w:rsid w:val="00DD34C6"/>
    <w:rsid w:val="00E271DA"/>
    <w:rsid w:val="00E56D29"/>
    <w:rsid w:val="00E77F89"/>
    <w:rsid w:val="00E842C2"/>
    <w:rsid w:val="00E9212A"/>
    <w:rsid w:val="00E921BC"/>
    <w:rsid w:val="00EA77A9"/>
    <w:rsid w:val="00EE6EFF"/>
    <w:rsid w:val="00EE7E12"/>
    <w:rsid w:val="00EF2C52"/>
    <w:rsid w:val="00F142D6"/>
    <w:rsid w:val="00F7207B"/>
    <w:rsid w:val="00F76F7B"/>
    <w:rsid w:val="00F8762D"/>
    <w:rsid w:val="00F87D13"/>
    <w:rsid w:val="00F9211E"/>
    <w:rsid w:val="00F936C8"/>
    <w:rsid w:val="00F95C67"/>
    <w:rsid w:val="00FB2994"/>
    <w:rsid w:val="00FB2FFA"/>
    <w:rsid w:val="00FB538F"/>
    <w:rsid w:val="00FC1785"/>
    <w:rsid w:val="00FE1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C6BAC"/>
  <w15:docId w15:val="{0903D7C9-69B5-40E0-8248-67E1D776C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0188A"/>
    <w:pPr>
      <w:spacing w:after="200" w:line="276" w:lineRule="auto"/>
    </w:pPr>
    <w:rPr>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110ACC"/>
    <w:pPr>
      <w:tabs>
        <w:tab w:val="center" w:pos="4680"/>
        <w:tab w:val="right" w:pos="9360"/>
      </w:tabs>
      <w:spacing w:after="0" w:line="240" w:lineRule="auto"/>
    </w:pPr>
  </w:style>
  <w:style w:type="character" w:customStyle="1" w:styleId="a4">
    <w:name w:val="Верхний колонтитул Знак"/>
    <w:basedOn w:val="a0"/>
    <w:link w:val="a3"/>
    <w:uiPriority w:val="99"/>
    <w:semiHidden/>
    <w:rsid w:val="00110ACC"/>
  </w:style>
  <w:style w:type="paragraph" w:styleId="a5">
    <w:name w:val="footer"/>
    <w:basedOn w:val="a"/>
    <w:link w:val="a6"/>
    <w:uiPriority w:val="99"/>
    <w:unhideWhenUsed/>
    <w:rsid w:val="00110ACC"/>
    <w:pPr>
      <w:tabs>
        <w:tab w:val="center" w:pos="4680"/>
        <w:tab w:val="right" w:pos="9360"/>
      </w:tabs>
      <w:spacing w:after="0" w:line="240" w:lineRule="auto"/>
    </w:pPr>
  </w:style>
  <w:style w:type="character" w:customStyle="1" w:styleId="a6">
    <w:name w:val="Нижний колонтитул Знак"/>
    <w:basedOn w:val="a0"/>
    <w:link w:val="a5"/>
    <w:uiPriority w:val="99"/>
    <w:rsid w:val="00110ACC"/>
  </w:style>
  <w:style w:type="paragraph" w:customStyle="1" w:styleId="ICESTTitle">
    <w:name w:val="ICEST_Title"/>
    <w:basedOn w:val="a"/>
    <w:rsid w:val="00110ACC"/>
    <w:pPr>
      <w:autoSpaceDE w:val="0"/>
      <w:autoSpaceDN w:val="0"/>
      <w:adjustRightInd w:val="0"/>
      <w:spacing w:after="0" w:line="240" w:lineRule="auto"/>
      <w:jc w:val="center"/>
    </w:pPr>
    <w:rPr>
      <w:rFonts w:ascii="Times New Roman" w:eastAsia="Times New Roman" w:hAnsi="Times New Roman" w:cs="Arial"/>
      <w:sz w:val="44"/>
    </w:rPr>
  </w:style>
  <w:style w:type="paragraph" w:customStyle="1" w:styleId="ICESTAbstract">
    <w:name w:val="ICEST_Abstract"/>
    <w:basedOn w:val="a"/>
    <w:rsid w:val="00110ACC"/>
    <w:pPr>
      <w:spacing w:after="0" w:line="240" w:lineRule="auto"/>
      <w:ind w:firstLine="198"/>
      <w:jc w:val="both"/>
    </w:pPr>
    <w:rPr>
      <w:rFonts w:ascii="Times New Roman" w:eastAsia="Times New Roman" w:hAnsi="Times New Roman"/>
      <w:b/>
      <w:sz w:val="18"/>
      <w:szCs w:val="24"/>
      <w:lang w:val="en-GB"/>
    </w:rPr>
  </w:style>
  <w:style w:type="paragraph" w:customStyle="1" w:styleId="ICESTNormal">
    <w:name w:val="ICEST_Normal"/>
    <w:basedOn w:val="a"/>
    <w:rsid w:val="00110ACC"/>
    <w:pPr>
      <w:autoSpaceDE w:val="0"/>
      <w:autoSpaceDN w:val="0"/>
      <w:adjustRightInd w:val="0"/>
      <w:spacing w:after="0" w:line="240" w:lineRule="auto"/>
      <w:ind w:firstLine="198"/>
      <w:jc w:val="both"/>
    </w:pPr>
    <w:rPr>
      <w:rFonts w:ascii="Times New Roman" w:eastAsia="Times New Roman" w:hAnsi="Times New Roman" w:cs="Arial"/>
      <w:sz w:val="20"/>
    </w:rPr>
  </w:style>
  <w:style w:type="paragraph" w:styleId="a7">
    <w:name w:val="No Spacing"/>
    <w:uiPriority w:val="1"/>
    <w:qFormat/>
    <w:rsid w:val="00110ACC"/>
    <w:rPr>
      <w:sz w:val="22"/>
      <w:szCs w:val="22"/>
    </w:rPr>
  </w:style>
  <w:style w:type="paragraph" w:styleId="a8">
    <w:name w:val="Balloon Text"/>
    <w:basedOn w:val="a"/>
    <w:link w:val="a9"/>
    <w:uiPriority w:val="99"/>
    <w:semiHidden/>
    <w:unhideWhenUsed/>
    <w:rsid w:val="005B272D"/>
    <w:pPr>
      <w:spacing w:after="0" w:line="240" w:lineRule="auto"/>
    </w:pPr>
    <w:rPr>
      <w:rFonts w:ascii="Tahoma" w:hAnsi="Tahoma" w:cs="Tahoma"/>
      <w:sz w:val="16"/>
      <w:szCs w:val="16"/>
    </w:rPr>
  </w:style>
  <w:style w:type="character" w:customStyle="1" w:styleId="a9">
    <w:name w:val="Текст выноски Знак"/>
    <w:basedOn w:val="a0"/>
    <w:link w:val="a8"/>
    <w:uiPriority w:val="99"/>
    <w:semiHidden/>
    <w:rsid w:val="005B272D"/>
    <w:rPr>
      <w:rFonts w:ascii="Tahoma" w:hAnsi="Tahoma" w:cs="Tahoma"/>
      <w:sz w:val="16"/>
      <w:szCs w:val="16"/>
    </w:rPr>
  </w:style>
  <w:style w:type="character" w:styleId="aa">
    <w:name w:val="Hyperlink"/>
    <w:basedOn w:val="a0"/>
    <w:rsid w:val="005B272D"/>
    <w:rPr>
      <w:color w:val="0000FF"/>
      <w:u w:val="single"/>
    </w:rPr>
  </w:style>
  <w:style w:type="paragraph" w:customStyle="1" w:styleId="ICESTRefertext">
    <w:name w:val="ICEST_Refer_text"/>
    <w:basedOn w:val="a"/>
    <w:rsid w:val="005B272D"/>
    <w:pPr>
      <w:numPr>
        <w:numId w:val="2"/>
      </w:numPr>
      <w:tabs>
        <w:tab w:val="left" w:pos="357"/>
      </w:tabs>
      <w:autoSpaceDE w:val="0"/>
      <w:autoSpaceDN w:val="0"/>
      <w:adjustRightInd w:val="0"/>
      <w:spacing w:after="0" w:line="240" w:lineRule="auto"/>
      <w:jc w:val="both"/>
    </w:pPr>
    <w:rPr>
      <w:rFonts w:ascii="Times New Roman" w:eastAsia="Times New Roman" w:hAnsi="Times New Roman" w:cs="Arial"/>
      <w:sz w:val="18"/>
    </w:rPr>
  </w:style>
  <w:style w:type="paragraph" w:styleId="ab">
    <w:name w:val="Body Text"/>
    <w:basedOn w:val="a"/>
    <w:link w:val="ac"/>
    <w:rsid w:val="00E9212A"/>
    <w:pPr>
      <w:spacing w:after="120" w:line="228" w:lineRule="auto"/>
      <w:ind w:firstLine="288"/>
      <w:jc w:val="both"/>
    </w:pPr>
    <w:rPr>
      <w:rFonts w:ascii="Times New Roman" w:eastAsia="SimSun" w:hAnsi="Times New Roman"/>
      <w:spacing w:val="-1"/>
      <w:sz w:val="20"/>
      <w:szCs w:val="20"/>
    </w:rPr>
  </w:style>
  <w:style w:type="character" w:customStyle="1" w:styleId="ac">
    <w:name w:val="Основной текст Знак"/>
    <w:basedOn w:val="a0"/>
    <w:link w:val="ab"/>
    <w:rsid w:val="00E9212A"/>
    <w:rPr>
      <w:rFonts w:ascii="Times New Roman" w:eastAsia="SimSun" w:hAnsi="Times New Roman" w:cs="Times New Roman"/>
      <w:spacing w:val="-1"/>
      <w:sz w:val="20"/>
      <w:szCs w:val="20"/>
    </w:rPr>
  </w:style>
  <w:style w:type="paragraph" w:customStyle="1" w:styleId="Els-acknowledgement">
    <w:name w:val="Els-acknowledgement"/>
    <w:next w:val="a"/>
    <w:rsid w:val="00E9212A"/>
    <w:pPr>
      <w:keepNext/>
      <w:spacing w:before="480" w:after="240" w:line="220" w:lineRule="exact"/>
    </w:pPr>
    <w:rPr>
      <w:rFonts w:ascii="Times New Roman" w:eastAsia="SimSun" w:hAnsi="Times New Roman"/>
      <w:b/>
    </w:rPr>
  </w:style>
  <w:style w:type="paragraph" w:customStyle="1" w:styleId="Els-body-text">
    <w:name w:val="Els-body-text"/>
    <w:rsid w:val="00E9212A"/>
    <w:pPr>
      <w:keepNext/>
      <w:spacing w:line="240" w:lineRule="exact"/>
      <w:ind w:firstLine="238"/>
      <w:jc w:val="both"/>
    </w:pPr>
    <w:rPr>
      <w:rFonts w:ascii="Times New Roman" w:eastAsia="SimSun" w:hAnsi="Times New Roman"/>
    </w:rPr>
  </w:style>
  <w:style w:type="paragraph" w:customStyle="1" w:styleId="Els-reference-head">
    <w:name w:val="Els-reference-head"/>
    <w:next w:val="a"/>
    <w:rsid w:val="00E9212A"/>
    <w:pPr>
      <w:keepNext/>
      <w:spacing w:before="480" w:after="200" w:line="220" w:lineRule="exact"/>
    </w:pPr>
    <w:rPr>
      <w:rFonts w:ascii="Times New Roman" w:eastAsia="SimSun" w:hAnsi="Times New Roman"/>
      <w:b/>
    </w:rPr>
  </w:style>
  <w:style w:type="character" w:customStyle="1" w:styleId="authors">
    <w:name w:val="authors"/>
    <w:basedOn w:val="a0"/>
    <w:rsid w:val="008C4273"/>
  </w:style>
  <w:style w:type="paragraph" w:styleId="ad">
    <w:name w:val="List Paragraph"/>
    <w:basedOn w:val="a"/>
    <w:uiPriority w:val="34"/>
    <w:qFormat/>
    <w:rsid w:val="008C4273"/>
    <w:pPr>
      <w:ind w:left="720"/>
      <w:contextualSpacing/>
    </w:pPr>
  </w:style>
  <w:style w:type="character" w:styleId="ae">
    <w:name w:val="Emphasis"/>
    <w:basedOn w:val="a0"/>
    <w:uiPriority w:val="20"/>
    <w:qFormat/>
    <w:rsid w:val="00D129B8"/>
    <w:rPr>
      <w:i/>
      <w:iCs/>
    </w:rPr>
  </w:style>
  <w:style w:type="character" w:customStyle="1" w:styleId="apple-converted-space">
    <w:name w:val="apple-converted-space"/>
    <w:basedOn w:val="a0"/>
    <w:rsid w:val="0019766B"/>
  </w:style>
  <w:style w:type="character" w:styleId="af">
    <w:name w:val="annotation reference"/>
    <w:basedOn w:val="a0"/>
    <w:uiPriority w:val="99"/>
    <w:semiHidden/>
    <w:unhideWhenUsed/>
    <w:rsid w:val="00AA4529"/>
    <w:rPr>
      <w:sz w:val="16"/>
      <w:szCs w:val="16"/>
    </w:rPr>
  </w:style>
  <w:style w:type="paragraph" w:styleId="af0">
    <w:name w:val="annotation text"/>
    <w:basedOn w:val="a"/>
    <w:link w:val="af1"/>
    <w:uiPriority w:val="99"/>
    <w:semiHidden/>
    <w:unhideWhenUsed/>
    <w:rsid w:val="00AA4529"/>
    <w:pPr>
      <w:spacing w:line="240" w:lineRule="auto"/>
    </w:pPr>
    <w:rPr>
      <w:sz w:val="20"/>
      <w:szCs w:val="20"/>
    </w:rPr>
  </w:style>
  <w:style w:type="character" w:customStyle="1" w:styleId="af1">
    <w:name w:val="Текст примечания Знак"/>
    <w:basedOn w:val="a0"/>
    <w:link w:val="af0"/>
    <w:uiPriority w:val="99"/>
    <w:semiHidden/>
    <w:rsid w:val="00AA4529"/>
  </w:style>
  <w:style w:type="paragraph" w:styleId="af2">
    <w:name w:val="annotation subject"/>
    <w:basedOn w:val="af0"/>
    <w:next w:val="af0"/>
    <w:link w:val="af3"/>
    <w:uiPriority w:val="99"/>
    <w:semiHidden/>
    <w:unhideWhenUsed/>
    <w:rsid w:val="00AA4529"/>
    <w:rPr>
      <w:b/>
      <w:bCs/>
    </w:rPr>
  </w:style>
  <w:style w:type="character" w:customStyle="1" w:styleId="af3">
    <w:name w:val="Тема примечания Знак"/>
    <w:basedOn w:val="af1"/>
    <w:link w:val="af2"/>
    <w:uiPriority w:val="99"/>
    <w:semiHidden/>
    <w:rsid w:val="00AA4529"/>
    <w:rPr>
      <w:b/>
      <w:bCs/>
    </w:rPr>
  </w:style>
  <w:style w:type="paragraph" w:styleId="af4">
    <w:name w:val="Normal (Web)"/>
    <w:basedOn w:val="a"/>
    <w:uiPriority w:val="99"/>
    <w:unhideWhenUsed/>
    <w:rsid w:val="00AA4529"/>
    <w:pPr>
      <w:spacing w:before="100" w:beforeAutospacing="1" w:after="100" w:afterAutospacing="1" w:line="240" w:lineRule="auto"/>
    </w:pPr>
    <w:rPr>
      <w:rFonts w:ascii="Times New Roman" w:eastAsia="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21198487">
      <w:bodyDiv w:val="1"/>
      <w:marLeft w:val="0"/>
      <w:marRight w:val="0"/>
      <w:marTop w:val="0"/>
      <w:marBottom w:val="0"/>
      <w:divBdr>
        <w:top w:val="none" w:sz="0" w:space="0" w:color="auto"/>
        <w:left w:val="none" w:sz="0" w:space="0" w:color="auto"/>
        <w:bottom w:val="none" w:sz="0" w:space="0" w:color="auto"/>
        <w:right w:val="none" w:sz="0" w:space="0" w:color="auto"/>
      </w:divBdr>
    </w:div>
    <w:div w:id="1032657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mypat-commits/curriculum-kag" TargetMode="External"/><Relationship Id="rId13" Type="http://schemas.openxmlformats.org/officeDocument/2006/relationships/hyperlink" Target="https://www.scopus.com/pages/publications/105027578723"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32523/2306-6172-2025-13-4-159-167" TargetMode="External"/><Relationship Id="rId17" Type="http://schemas.openxmlformats.org/officeDocument/2006/relationships/hyperlink" Target="https://www.scopus.com/pages/publications/105043909947" TargetMode="External"/><Relationship Id="rId2" Type="http://schemas.openxmlformats.org/officeDocument/2006/relationships/numbering" Target="numbering.xml"/><Relationship Id="rId16" Type="http://schemas.openxmlformats.org/officeDocument/2006/relationships/hyperlink" Target="https://doi.org/10.32523/2306-6172-2026-14-2-95-11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CINTI63048.2024.10830766" TargetMode="External"/><Relationship Id="rId5" Type="http://schemas.openxmlformats.org/officeDocument/2006/relationships/webSettings" Target="webSettings.xml"/><Relationship Id="rId15" Type="http://schemas.openxmlformats.org/officeDocument/2006/relationships/hyperlink" Target="https://www.scopus.com/pages/publications/105035219019" TargetMode="External"/><Relationship Id="rId10" Type="http://schemas.openxmlformats.org/officeDocument/2006/relationships/hyperlink" Target="https://www.scopus.com/pages/publications/85119289073"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pvo.kz/" TargetMode="External"/><Relationship Id="rId14" Type="http://schemas.openxmlformats.org/officeDocument/2006/relationships/hyperlink" Target="https://doi.org/10.32523/2306-6172-2026-14-1-17-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178DFA-72C0-4B28-9692-31F2149FD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3</Pages>
  <Words>10314</Words>
  <Characters>58793</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TEM Journal</vt:lpstr>
    </vt:vector>
  </TitlesOfParts>
  <Company>UIKTEN</Company>
  <LinksUpToDate>false</LinksUpToDate>
  <CharactersWithSpaces>68970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Curriculum-KAG: Evidence-Constrained Curriculum Synthesis with National Expert Data, Semantic Retrieval, and Semester-Aware Planning</dc:title>
  <dc:subject>Curriculum-KAG</dc:subject>
  <dc:creator>Murat Kozhanov</dc:creator>
  <cp:lastModifiedBy>Кожанов Мурат Галиаскарович</cp:lastModifiedBy>
  <cp:revision>19</cp:revision>
  <dcterms:created xsi:type="dcterms:W3CDTF">2021-06-01T19:34:00Z</dcterms:created>
  <dcterms:modified xsi:type="dcterms:W3CDTF">2026-08-04T10:17:00Z</dcterms:modified>
</cp:coreProperties>
</file>