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r>
        <w:t>So</w:t>
      </w:r>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In this post, we will look at the following metrics for TakeZero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r>
        <w:t>TakeZero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r w:rsidRPr="00704DA0">
              <w:rPr>
                <w:b/>
                <w:bCs/>
              </w:rPr>
              <w:t>avg number of web app sessions ran per month</w:t>
            </w:r>
          </w:p>
        </w:tc>
        <w:tc>
          <w:tcPr>
            <w:tcW w:w="1653" w:type="dxa"/>
            <w:hideMark/>
          </w:tcPr>
          <w:p w14:paraId="5EB354C7" w14:textId="77777777" w:rsidR="00704DA0" w:rsidRPr="00704DA0" w:rsidRDefault="00704DA0">
            <w:pPr>
              <w:rPr>
                <w:b/>
                <w:bCs/>
              </w:rPr>
            </w:pPr>
            <w:r w:rsidRPr="00704DA0">
              <w:rPr>
                <w:b/>
                <w:bCs/>
              </w:rPr>
              <w:t>avg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r w:rsidR="00354E83" w:rsidRPr="00576874">
              <w:rPr>
                <w:i/>
                <w:iCs/>
              </w:rPr>
              <w:t>(</w:t>
            </w:r>
            <w:r w:rsidRPr="00576874">
              <w:rPr>
                <w:i/>
                <w:iCs/>
              </w:rPr>
              <w:t xml:space="preserve"> 2,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(avg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plan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avg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We know on an avg how many web app development sessions user does per month. We will normalize this metric to remove the effect of the number of seats team plan has i.e. avg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don’t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avg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avg how many </w:t>
      </w:r>
      <w:r w:rsidR="002F344B">
        <w:t>mobile</w:t>
      </w:r>
      <w:r>
        <w:t xml:space="preserve"> app development sessions user does per month. We will normalize this metric to remove the effect of the number of seats team plan has i.e. avg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TakeZero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lastRenderedPageBreak/>
        <w:t xml:space="preserve">Acquisition Cohorts - Group user by their acquisition day, week or month and measure retention. This helps to understand when we are losing customers and when does churn stablise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+ve retention</w:t>
      </w:r>
    </w:p>
    <w:p w14:paraId="3A8341B4" w14:textId="309168AD" w:rsidR="004578B8" w:rsidRDefault="00AA64BB" w:rsidP="00FA312B">
      <w:pPr>
        <w:rPr>
          <w:b/>
          <w:bCs/>
        </w:rPr>
      </w:pPr>
      <w:r>
        <w:rPr>
          <w:noProof/>
        </w:rPr>
        <w:drawing>
          <wp:anchor distT="0" distB="0" distL="114300" distR="114300" simplePos="0" relativeHeight="251658240" behindDoc="1" locked="0" layoutInCell="1" allowOverlap="1" wp14:anchorId="6817524E" wp14:editId="68807557">
            <wp:simplePos x="0" y="0"/>
            <wp:positionH relativeFrom="column">
              <wp:posOffset>3581400</wp:posOffset>
            </wp:positionH>
            <wp:positionV relativeFrom="paragraph">
              <wp:posOffset>335280</wp:posOffset>
            </wp:positionV>
            <wp:extent cx="2808605" cy="1746250"/>
            <wp:effectExtent l="0" t="0" r="10795" b="6350"/>
            <wp:wrapTight wrapText="bothSides">
              <wp:wrapPolygon edited="0">
                <wp:start x="0" y="0"/>
                <wp:lineTo x="0" y="21443"/>
                <wp:lineTo x="21537" y="21443"/>
                <wp:lineTo x="21537" y="0"/>
                <wp:lineTo x="0" y="0"/>
              </wp:wrapPolygon>
            </wp:wrapTight>
            <wp:docPr id="1" name="Chart 1">
              <a:extLst xmlns:a="http://schemas.openxmlformats.org/drawingml/2006/main">
                <a:ext uri="{FF2B5EF4-FFF2-40B4-BE49-F238E27FC236}">
                  <a16:creationId xmlns:a16="http://schemas.microsoft.com/office/drawing/2014/main" id="{73CEF486-2B44-4185-A37E-313AFB475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460540">
        <w:rPr>
          <w:b/>
          <w:bCs/>
        </w:rPr>
        <w:t>Acquisition Cohorts</w:t>
      </w:r>
    </w:p>
    <w:tbl>
      <w:tblPr>
        <w:tblW w:w="5320" w:type="dxa"/>
        <w:tblLook w:val="04A0" w:firstRow="1" w:lastRow="0" w:firstColumn="1" w:lastColumn="0" w:noHBand="0" w:noVBand="1"/>
      </w:tblPr>
      <w:tblGrid>
        <w:gridCol w:w="1888"/>
        <w:gridCol w:w="1014"/>
        <w:gridCol w:w="806"/>
        <w:gridCol w:w="806"/>
        <w:gridCol w:w="806"/>
      </w:tblGrid>
      <w:tr w:rsidR="008531C4" w:rsidRPr="008531C4" w14:paraId="610C2C28" w14:textId="77777777" w:rsidTr="008531C4">
        <w:trPr>
          <w:trHeight w:val="260"/>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8531C4" w:rsidRPr="008531C4" w14:paraId="6473B142" w14:textId="77777777" w:rsidTr="008531C4">
        <w:trPr>
          <w:trHeight w:val="260"/>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8531C4" w:rsidRPr="008531C4" w14:paraId="3032A7FE" w14:textId="77777777" w:rsidTr="008531C4">
        <w:trPr>
          <w:trHeight w:val="260"/>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8531C4" w:rsidRPr="008531C4" w14:paraId="4089E3FD" w14:textId="77777777" w:rsidTr="008531C4">
        <w:trPr>
          <w:trHeight w:val="260"/>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38397EEF"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8531C4" w:rsidRPr="008531C4" w14:paraId="3BCA3C0A" w14:textId="77777777" w:rsidTr="008531C4">
        <w:trPr>
          <w:trHeight w:val="260"/>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B981808"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8531C4" w:rsidRPr="008531C4" w14:paraId="0338F60D" w14:textId="77777777" w:rsidTr="008531C4">
        <w:trPr>
          <w:trHeight w:val="260"/>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37C9F5EB"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2AC8478D" w:rsidR="00460540" w:rsidRPr="004578B8" w:rsidRDefault="00460540" w:rsidP="00FA312B">
      <w:pPr>
        <w:rPr>
          <w:b/>
          <w:bCs/>
        </w:rPr>
      </w:pPr>
    </w:p>
    <w:p w14:paraId="52CE2F47" w14:textId="04FF7093" w:rsidR="0050207F" w:rsidRDefault="0050207F" w:rsidP="00217134"/>
    <w:p w14:paraId="718ACF26" w14:textId="383A5310" w:rsidR="00704DA0" w:rsidRDefault="00704DA0" w:rsidP="00217134"/>
    <w:p w14:paraId="1AC16E99" w14:textId="14DE9839"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77777777" w:rsidR="00883795" w:rsidRDefault="00883795" w:rsidP="00883795">
      <w:pPr>
        <w:rPr>
          <w:b/>
          <w:bCs/>
        </w:rPr>
      </w:pPr>
    </w:p>
    <w:p w14:paraId="7673F400" w14:textId="20876F42" w:rsidR="00883795" w:rsidRPr="00883795" w:rsidRDefault="00883795" w:rsidP="00883795">
      <w:pPr>
        <w:rPr>
          <w:b/>
          <w:bCs/>
        </w:rPr>
      </w:pPr>
      <w:r>
        <w:rPr>
          <w:b/>
          <w:bCs/>
        </w:rPr>
        <w:t>Behavioural</w:t>
      </w:r>
      <w:r w:rsidRPr="00883795">
        <w:rPr>
          <w:b/>
          <w:bCs/>
        </w:rPr>
        <w:t xml:space="preserve"> Cohorts</w:t>
      </w:r>
    </w:p>
    <w:p w14:paraId="6F7CC0A6" w14:textId="0BFA32B2" w:rsidR="00C01594" w:rsidRDefault="00F72153" w:rsidP="00217134">
      <w:r>
        <w:rPr>
          <w:noProof/>
        </w:rPr>
        <w:drawing>
          <wp:anchor distT="0" distB="0" distL="114300" distR="114300" simplePos="0" relativeHeight="251659264" behindDoc="1" locked="0" layoutInCell="1" allowOverlap="1" wp14:anchorId="08E86A40" wp14:editId="10E1DA09">
            <wp:simplePos x="0" y="0"/>
            <wp:positionH relativeFrom="column">
              <wp:posOffset>3200400</wp:posOffset>
            </wp:positionH>
            <wp:positionV relativeFrom="paragraph">
              <wp:posOffset>5080</wp:posOffset>
            </wp:positionV>
            <wp:extent cx="3192145" cy="2298700"/>
            <wp:effectExtent l="0" t="0" r="8255" b="6350"/>
            <wp:wrapTight wrapText="bothSides">
              <wp:wrapPolygon edited="0">
                <wp:start x="0" y="0"/>
                <wp:lineTo x="0" y="21481"/>
                <wp:lineTo x="21527" y="21481"/>
                <wp:lineTo x="21527" y="0"/>
                <wp:lineTo x="0" y="0"/>
              </wp:wrapPolygon>
            </wp:wrapTight>
            <wp:docPr id="3" name="Chart 3">
              <a:extLst xmlns:a="http://schemas.openxmlformats.org/drawingml/2006/main">
                <a:ext uri="{FF2B5EF4-FFF2-40B4-BE49-F238E27FC236}">
                  <a16:creationId xmlns:a16="http://schemas.microsoft.com/office/drawing/2014/main" id="{45A24334-6BC0-4E29-BC42-592AA4C84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284F94">
        <w:t>Based on what we saw in “Churn rate by Customer Behaviour” section, we can form two hypotheses</w:t>
      </w:r>
    </w:p>
    <w:p w14:paraId="1621E445" w14:textId="211CA54F" w:rsidR="00284F94" w:rsidRDefault="0033722A" w:rsidP="0052197E">
      <w:r w:rsidRPr="0052197E">
        <w:rPr>
          <w:color w:val="2F5496" w:themeColor="accent1" w:themeShade="BF"/>
        </w:rPr>
        <w:t>Hypothesis</w:t>
      </w:r>
      <w:r w:rsidR="0052197E" w:rsidRPr="0052197E">
        <w:rPr>
          <w:color w:val="2F5496" w:themeColor="accent1" w:themeShade="BF"/>
        </w:rPr>
        <w:t xml:space="preserve"> 1</w:t>
      </w:r>
      <w:r>
        <w:t xml:space="preserve">: </w:t>
      </w:r>
      <w:r w:rsidR="00284F94">
        <w:t xml:space="preserve">We believe team plan subscribers who fill more than 60% of the bought seats within first 3 months </w:t>
      </w:r>
      <w:r w:rsidR="00F72153">
        <w:t>r</w:t>
      </w:r>
      <w:r w:rsidR="00284F94">
        <w:t>etain better</w:t>
      </w:r>
    </w:p>
    <w:p w14:paraId="63C9D3A4" w14:textId="4755927A"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2B11E1D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p>
    <w:p w14:paraId="7266EB36" w14:textId="3CE6F1DB" w:rsidR="006062BD" w:rsidRDefault="006062BD" w:rsidP="006062BD">
      <w:pPr>
        <w:rPr>
          <w:color w:val="2F5496" w:themeColor="accent1" w:themeShade="BF"/>
        </w:rPr>
      </w:pPr>
    </w:p>
    <w:p w14:paraId="02D93B79" w14:textId="62CB4D6C" w:rsidR="006606FD" w:rsidRDefault="006606FD" w:rsidP="006062BD">
      <w:pPr>
        <w:rPr>
          <w:color w:val="2F5496" w:themeColor="accent1" w:themeShade="BF"/>
        </w:rPr>
      </w:pPr>
    </w:p>
    <w:p w14:paraId="2C66187B" w14:textId="77777777" w:rsidR="006606FD" w:rsidRDefault="006606FD" w:rsidP="006062BD">
      <w:pPr>
        <w:rPr>
          <w:color w:val="2F5496" w:themeColor="accent1" w:themeShade="BF"/>
        </w:rPr>
      </w:pPr>
    </w:p>
    <w:p w14:paraId="3C850D0A" w14:textId="0DC6E388" w:rsidR="006062BD" w:rsidRDefault="006606FD" w:rsidP="006062BD">
      <w:pPr>
        <w:rPr>
          <w:noProof/>
        </w:rPr>
      </w:pPr>
      <w:r>
        <w:rPr>
          <w:noProof/>
        </w:rPr>
        <w:lastRenderedPageBreak/>
        <w:drawing>
          <wp:anchor distT="0" distB="0" distL="114300" distR="114300" simplePos="0" relativeHeight="251660288" behindDoc="1" locked="0" layoutInCell="1" allowOverlap="1" wp14:anchorId="149D2450" wp14:editId="554D33BE">
            <wp:simplePos x="0" y="0"/>
            <wp:positionH relativeFrom="column">
              <wp:posOffset>3327400</wp:posOffset>
            </wp:positionH>
            <wp:positionV relativeFrom="paragraph">
              <wp:posOffset>0</wp:posOffset>
            </wp:positionV>
            <wp:extent cx="2973070" cy="2400300"/>
            <wp:effectExtent l="0" t="0" r="17780" b="0"/>
            <wp:wrapTight wrapText="bothSides">
              <wp:wrapPolygon edited="0">
                <wp:start x="0" y="0"/>
                <wp:lineTo x="0" y="21429"/>
                <wp:lineTo x="21591" y="21429"/>
                <wp:lineTo x="21591" y="0"/>
                <wp:lineTo x="0" y="0"/>
              </wp:wrapPolygon>
            </wp:wrapTight>
            <wp:docPr id="4" name="Chart 4">
              <a:extLst xmlns:a="http://schemas.openxmlformats.org/drawingml/2006/main">
                <a:ext uri="{FF2B5EF4-FFF2-40B4-BE49-F238E27FC236}">
                  <a16:creationId xmlns:a16="http://schemas.microsoft.com/office/drawing/2014/main" id="{CCC8EF50-AA62-4822-AF80-1B4BFDB90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t>customers who do more mobile app dev sessions per month per user retain better</w:t>
      </w:r>
      <w:r w:rsidRPr="006606FD">
        <w:rPr>
          <w:noProof/>
        </w:rPr>
        <w:t xml:space="preserve"> </w:t>
      </w:r>
    </w:p>
    <w:p w14:paraId="021D660C" w14:textId="70F95006" w:rsidR="009534B5" w:rsidRDefault="009534B5" w:rsidP="009534B5">
      <w:pPr>
        <w:pStyle w:val="ListParagraph"/>
        <w:numPr>
          <w:ilvl w:val="0"/>
          <w:numId w:val="13"/>
        </w:numPr>
      </w:pPr>
      <w:r>
        <w:t>Around 2</w:t>
      </w:r>
      <w:r>
        <w:t>5</w:t>
      </w:r>
      <w:r>
        <w:t>% of the customers who</w:t>
      </w:r>
      <w:r>
        <w:t>se team</w:t>
      </w:r>
      <w:r>
        <w:t xml:space="preserve"> </w:t>
      </w:r>
      <w:r>
        <w:t xml:space="preserve">does &lt; 5 mobile app dev sessions per month per user </w:t>
      </w:r>
      <w:r>
        <w:t>churn within 1</w:t>
      </w:r>
      <w:r w:rsidRPr="009534B5">
        <w:rPr>
          <w:vertAlign w:val="superscript"/>
        </w:rPr>
        <w:t>st</w:t>
      </w:r>
      <w:r>
        <w:t xml:space="preserve"> month. Whereas, 0% churn in customers </w:t>
      </w:r>
      <w:r>
        <w:t xml:space="preserve">whose team does more than 5 mobile app dev sessions per month per user </w:t>
      </w:r>
    </w:p>
    <w:p w14:paraId="3CE07D5A" w14:textId="009BD536"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65FC4B38" w:rsidR="0052197E" w:rsidRDefault="0052197E" w:rsidP="00BA2C30"/>
    <w:p w14:paraId="43DD8B67" w14:textId="25C8BEDC" w:rsidR="00BA2C30" w:rsidRPr="00284F94" w:rsidRDefault="00BA2C30" w:rsidP="00BA2C30"/>
    <w:p w14:paraId="22E4837E" w14:textId="08F0766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1"/>
  </w:num>
  <w:num w:numId="4">
    <w:abstractNumId w:val="9"/>
  </w:num>
  <w:num w:numId="5">
    <w:abstractNumId w:val="1"/>
  </w:num>
  <w:num w:numId="6">
    <w:abstractNumId w:val="0"/>
  </w:num>
  <w:num w:numId="7">
    <w:abstractNumId w:val="8"/>
  </w:num>
  <w:num w:numId="8">
    <w:abstractNumId w:val="5"/>
  </w:num>
  <w:num w:numId="9">
    <w:abstractNumId w:val="2"/>
  </w:num>
  <w:num w:numId="10">
    <w:abstractNumId w:val="10"/>
  </w:num>
  <w:num w:numId="11">
    <w:abstractNumId w:val="4"/>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26E96"/>
    <w:rsid w:val="0002755D"/>
    <w:rsid w:val="000463E2"/>
    <w:rsid w:val="00070801"/>
    <w:rsid w:val="0008298C"/>
    <w:rsid w:val="00095027"/>
    <w:rsid w:val="00096875"/>
    <w:rsid w:val="000A0FFF"/>
    <w:rsid w:val="000A134E"/>
    <w:rsid w:val="000A26EB"/>
    <w:rsid w:val="000B6352"/>
    <w:rsid w:val="000B65D4"/>
    <w:rsid w:val="000F43E8"/>
    <w:rsid w:val="001036A5"/>
    <w:rsid w:val="00131939"/>
    <w:rsid w:val="00135C0A"/>
    <w:rsid w:val="00172E6F"/>
    <w:rsid w:val="00180AF3"/>
    <w:rsid w:val="001A79A1"/>
    <w:rsid w:val="001B2A5D"/>
    <w:rsid w:val="001F2046"/>
    <w:rsid w:val="00215019"/>
    <w:rsid w:val="00217134"/>
    <w:rsid w:val="00237CAE"/>
    <w:rsid w:val="0024170C"/>
    <w:rsid w:val="00245621"/>
    <w:rsid w:val="002651AC"/>
    <w:rsid w:val="002759D0"/>
    <w:rsid w:val="00284F94"/>
    <w:rsid w:val="00295CAB"/>
    <w:rsid w:val="002A177E"/>
    <w:rsid w:val="002A251B"/>
    <w:rsid w:val="002C3231"/>
    <w:rsid w:val="002F344B"/>
    <w:rsid w:val="002F4722"/>
    <w:rsid w:val="0030392F"/>
    <w:rsid w:val="00306113"/>
    <w:rsid w:val="00313F14"/>
    <w:rsid w:val="003262A9"/>
    <w:rsid w:val="00336E8B"/>
    <w:rsid w:val="0033722A"/>
    <w:rsid w:val="00354E83"/>
    <w:rsid w:val="00356619"/>
    <w:rsid w:val="00361340"/>
    <w:rsid w:val="00371EBD"/>
    <w:rsid w:val="003747F9"/>
    <w:rsid w:val="00374A79"/>
    <w:rsid w:val="00382315"/>
    <w:rsid w:val="0039070D"/>
    <w:rsid w:val="003A3DAA"/>
    <w:rsid w:val="003B2166"/>
    <w:rsid w:val="003C672E"/>
    <w:rsid w:val="003D2DD6"/>
    <w:rsid w:val="003E2DA9"/>
    <w:rsid w:val="003E6594"/>
    <w:rsid w:val="003F23E3"/>
    <w:rsid w:val="00427CB9"/>
    <w:rsid w:val="00432FA5"/>
    <w:rsid w:val="00450301"/>
    <w:rsid w:val="004578B8"/>
    <w:rsid w:val="00460540"/>
    <w:rsid w:val="00492C94"/>
    <w:rsid w:val="004E1389"/>
    <w:rsid w:val="004F4B81"/>
    <w:rsid w:val="004F4FBF"/>
    <w:rsid w:val="004F5B3D"/>
    <w:rsid w:val="004F7B70"/>
    <w:rsid w:val="0050207F"/>
    <w:rsid w:val="00505D40"/>
    <w:rsid w:val="0050662A"/>
    <w:rsid w:val="00507E08"/>
    <w:rsid w:val="0052197E"/>
    <w:rsid w:val="00532D59"/>
    <w:rsid w:val="00542891"/>
    <w:rsid w:val="00562160"/>
    <w:rsid w:val="00574043"/>
    <w:rsid w:val="00576874"/>
    <w:rsid w:val="005774F2"/>
    <w:rsid w:val="00586C35"/>
    <w:rsid w:val="005C7D91"/>
    <w:rsid w:val="005D47F1"/>
    <w:rsid w:val="005E7F05"/>
    <w:rsid w:val="00605F24"/>
    <w:rsid w:val="006062BD"/>
    <w:rsid w:val="00615163"/>
    <w:rsid w:val="006159D2"/>
    <w:rsid w:val="00626240"/>
    <w:rsid w:val="00627E08"/>
    <w:rsid w:val="00633639"/>
    <w:rsid w:val="00656F5F"/>
    <w:rsid w:val="006606FD"/>
    <w:rsid w:val="00676C9F"/>
    <w:rsid w:val="00685A66"/>
    <w:rsid w:val="006A27AA"/>
    <w:rsid w:val="006B3211"/>
    <w:rsid w:val="006C2CF9"/>
    <w:rsid w:val="006E4AFB"/>
    <w:rsid w:val="006F161F"/>
    <w:rsid w:val="00702E12"/>
    <w:rsid w:val="00704DA0"/>
    <w:rsid w:val="0070602B"/>
    <w:rsid w:val="00710DDE"/>
    <w:rsid w:val="00711AAA"/>
    <w:rsid w:val="00750862"/>
    <w:rsid w:val="00752554"/>
    <w:rsid w:val="00753428"/>
    <w:rsid w:val="00753CC3"/>
    <w:rsid w:val="00753DAD"/>
    <w:rsid w:val="00760BC6"/>
    <w:rsid w:val="00786584"/>
    <w:rsid w:val="00793A84"/>
    <w:rsid w:val="007A2750"/>
    <w:rsid w:val="007B384B"/>
    <w:rsid w:val="007B4084"/>
    <w:rsid w:val="007B4232"/>
    <w:rsid w:val="007B660A"/>
    <w:rsid w:val="007D30C7"/>
    <w:rsid w:val="007E23B0"/>
    <w:rsid w:val="007E440E"/>
    <w:rsid w:val="007E5BCE"/>
    <w:rsid w:val="007F0C20"/>
    <w:rsid w:val="007F0FF7"/>
    <w:rsid w:val="0082476D"/>
    <w:rsid w:val="00844979"/>
    <w:rsid w:val="008531C4"/>
    <w:rsid w:val="00860A1E"/>
    <w:rsid w:val="00862E08"/>
    <w:rsid w:val="00883795"/>
    <w:rsid w:val="00886581"/>
    <w:rsid w:val="008901C5"/>
    <w:rsid w:val="008A7689"/>
    <w:rsid w:val="008B7ADD"/>
    <w:rsid w:val="008E6A05"/>
    <w:rsid w:val="008E7194"/>
    <w:rsid w:val="008F1CEE"/>
    <w:rsid w:val="008F449D"/>
    <w:rsid w:val="008F528E"/>
    <w:rsid w:val="00903580"/>
    <w:rsid w:val="009155D3"/>
    <w:rsid w:val="00952B64"/>
    <w:rsid w:val="009534B5"/>
    <w:rsid w:val="0096293C"/>
    <w:rsid w:val="00984526"/>
    <w:rsid w:val="009D6D24"/>
    <w:rsid w:val="009F43B3"/>
    <w:rsid w:val="00A03002"/>
    <w:rsid w:val="00A11926"/>
    <w:rsid w:val="00A2094C"/>
    <w:rsid w:val="00A52C2F"/>
    <w:rsid w:val="00A83888"/>
    <w:rsid w:val="00A85D38"/>
    <w:rsid w:val="00A92AF9"/>
    <w:rsid w:val="00AA64BB"/>
    <w:rsid w:val="00AB09A2"/>
    <w:rsid w:val="00AF512F"/>
    <w:rsid w:val="00B07AA8"/>
    <w:rsid w:val="00B15F72"/>
    <w:rsid w:val="00B21FF5"/>
    <w:rsid w:val="00B25B4B"/>
    <w:rsid w:val="00B3138C"/>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FBC"/>
    <w:rsid w:val="00C61CE5"/>
    <w:rsid w:val="00C76A2C"/>
    <w:rsid w:val="00C91987"/>
    <w:rsid w:val="00C92278"/>
    <w:rsid w:val="00C92A8D"/>
    <w:rsid w:val="00CA52D5"/>
    <w:rsid w:val="00CD7782"/>
    <w:rsid w:val="00CE558C"/>
    <w:rsid w:val="00CE786F"/>
    <w:rsid w:val="00D31240"/>
    <w:rsid w:val="00D33FA3"/>
    <w:rsid w:val="00D36504"/>
    <w:rsid w:val="00D46AED"/>
    <w:rsid w:val="00D718A8"/>
    <w:rsid w:val="00D7458F"/>
    <w:rsid w:val="00D81314"/>
    <w:rsid w:val="00D9284F"/>
    <w:rsid w:val="00DA5FAD"/>
    <w:rsid w:val="00DA6F07"/>
    <w:rsid w:val="00DB09D0"/>
    <w:rsid w:val="00DB5910"/>
    <w:rsid w:val="00DB598A"/>
    <w:rsid w:val="00DD44F4"/>
    <w:rsid w:val="00DD5493"/>
    <w:rsid w:val="00DE6E1A"/>
    <w:rsid w:val="00DF6CAD"/>
    <w:rsid w:val="00E37C2C"/>
    <w:rsid w:val="00E43BC3"/>
    <w:rsid w:val="00E501CF"/>
    <w:rsid w:val="00EB4445"/>
    <w:rsid w:val="00EE6148"/>
    <w:rsid w:val="00F146AB"/>
    <w:rsid w:val="00F27814"/>
    <w:rsid w:val="00F43F75"/>
    <w:rsid w:val="00F44FAC"/>
    <w:rsid w:val="00F45377"/>
    <w:rsid w:val="00F61A5F"/>
    <w:rsid w:val="00F72153"/>
    <w:rsid w:val="00F87CA2"/>
    <w:rsid w:val="00FA312B"/>
    <w:rsid w:val="00FB670F"/>
    <w:rsid w:val="00FC0206"/>
    <w:rsid w:val="00FE1025"/>
    <w:rsid w:val="00FE23B8"/>
    <w:rsid w:val="00FE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Analytics_Projects\ChurnAnaysis\TakeZero-ChurnAnaysis-Answ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Analytics_Projects\ChurnAnaysis\TakeZero-ChurnAnaysis-Answ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Analytics_Projects\ChurnAnaysis\TakeZero-ChurnAnaysis-Answ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Retention in lifetime</a:t>
            </a:r>
            <a:r>
              <a:rPr lang="en-IN" baseline="0"/>
              <a:t>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CohortAnalysis!$F$11:$I$11</c:f>
              <c:numCache>
                <c:formatCode>General</c:formatCode>
                <c:ptCount val="4"/>
                <c:pt idx="0">
                  <c:v>0</c:v>
                </c:pt>
                <c:pt idx="1">
                  <c:v>1</c:v>
                </c:pt>
                <c:pt idx="2">
                  <c:v>2</c:v>
                </c:pt>
                <c:pt idx="3">
                  <c:v>3</c:v>
                </c:pt>
              </c:numCache>
            </c:numRef>
          </c:cat>
          <c:val>
            <c:numRef>
              <c:f>CohortAnalysis!$F$15:$I$15</c:f>
              <c:numCache>
                <c:formatCode>0%</c:formatCode>
                <c:ptCount val="4"/>
                <c:pt idx="0">
                  <c:v>1</c:v>
                </c:pt>
                <c:pt idx="1">
                  <c:v>0.73137830107430146</c:v>
                </c:pt>
                <c:pt idx="2">
                  <c:v>0.7187448046550291</c:v>
                </c:pt>
                <c:pt idx="3">
                  <c:v>0.75</c:v>
                </c:pt>
              </c:numCache>
            </c:numRef>
          </c:val>
          <c:smooth val="0"/>
          <c:extLst>
            <c:ext xmlns:c16="http://schemas.microsoft.com/office/drawing/2014/chart" uri="{C3380CC4-5D6E-409C-BE32-E72D297353CC}">
              <c16:uniqueId val="{00000000-B155-4BCC-A073-4FF1CB373079}"/>
            </c:ext>
          </c:extLst>
        </c:ser>
        <c:dLbls>
          <c:showLegendKey val="0"/>
          <c:showVal val="0"/>
          <c:showCatName val="0"/>
          <c:showSerName val="0"/>
          <c:showPercent val="0"/>
          <c:showBubbleSize val="0"/>
        </c:dLbls>
        <c:smooth val="0"/>
        <c:axId val="1917346032"/>
        <c:axId val="1761627056"/>
      </c:lineChart>
      <c:catAx>
        <c:axId val="191734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1627056"/>
        <c:crosses val="autoZero"/>
        <c:auto val="1"/>
        <c:lblAlgn val="ctr"/>
        <c:lblOffset val="100"/>
        <c:noMultiLvlLbl val="0"/>
      </c:catAx>
      <c:valAx>
        <c:axId val="1761627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346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aseline="0"/>
              <a:t>% retention based users added in team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013163677671918E-2"/>
          <c:y val="7.9239209994435317E-2"/>
          <c:w val="0.85118461882031671"/>
          <c:h val="0.83063476768522071"/>
        </c:manualLayout>
      </c:layout>
      <c:lineChart>
        <c:grouping val="standard"/>
        <c:varyColors val="0"/>
        <c:ser>
          <c:idx val="0"/>
          <c:order val="0"/>
          <c:tx>
            <c:v>Team plan filled &gt; 0.6</c:v>
          </c:tx>
          <c:spPr>
            <a:ln w="28575" cap="rnd">
              <a:solidFill>
                <a:schemeClr val="accent1"/>
              </a:solidFill>
              <a:round/>
            </a:ln>
            <a:effectLst/>
          </c:spPr>
          <c:marker>
            <c:symbol val="none"/>
          </c:marker>
          <c:cat>
            <c:numRef>
              <c:f>CohortAnalysis!$F$29:$I$29</c:f>
              <c:numCache>
                <c:formatCode>General</c:formatCode>
                <c:ptCount val="4"/>
                <c:pt idx="0">
                  <c:v>0</c:v>
                </c:pt>
                <c:pt idx="1">
                  <c:v>1</c:v>
                </c:pt>
                <c:pt idx="2">
                  <c:v>2</c:v>
                </c:pt>
                <c:pt idx="3">
                  <c:v>3</c:v>
                </c:pt>
              </c:numCache>
            </c:numRef>
          </c:cat>
          <c:val>
            <c:numRef>
              <c:f>CohortAnalysis!$F$33:$I$33</c:f>
              <c:numCache>
                <c:formatCode>0%</c:formatCode>
                <c:ptCount val="4"/>
                <c:pt idx="0">
                  <c:v>1</c:v>
                </c:pt>
                <c:pt idx="1">
                  <c:v>1</c:v>
                </c:pt>
                <c:pt idx="2">
                  <c:v>1</c:v>
                </c:pt>
                <c:pt idx="3">
                  <c:v>1</c:v>
                </c:pt>
              </c:numCache>
            </c:numRef>
          </c:val>
          <c:smooth val="0"/>
          <c:extLst>
            <c:ext xmlns:c16="http://schemas.microsoft.com/office/drawing/2014/chart" uri="{C3380CC4-5D6E-409C-BE32-E72D297353CC}">
              <c16:uniqueId val="{00000000-B0A6-4899-8332-DCB9816A3A54}"/>
            </c:ext>
          </c:extLst>
        </c:ser>
        <c:ser>
          <c:idx val="1"/>
          <c:order val="1"/>
          <c:tx>
            <c:v>Team plan filled &lt; 0.6</c:v>
          </c:tx>
          <c:spPr>
            <a:ln w="28575" cap="rnd">
              <a:solidFill>
                <a:schemeClr val="accent2"/>
              </a:solidFill>
              <a:round/>
            </a:ln>
            <a:effectLst/>
          </c:spPr>
          <c:marker>
            <c:symbol val="none"/>
          </c:marker>
          <c:val>
            <c:numRef>
              <c:f>CohortAnalysis!$F$48:$I$48</c:f>
              <c:numCache>
                <c:formatCode>0%</c:formatCode>
                <c:ptCount val="4"/>
                <c:pt idx="0">
                  <c:v>1</c:v>
                </c:pt>
                <c:pt idx="1">
                  <c:v>0.82382154882154879</c:v>
                </c:pt>
                <c:pt idx="2">
                  <c:v>0.78939393939393931</c:v>
                </c:pt>
                <c:pt idx="3">
                  <c:v>0.83181818181818179</c:v>
                </c:pt>
              </c:numCache>
            </c:numRef>
          </c:val>
          <c:smooth val="0"/>
          <c:extLst>
            <c:ext xmlns:c16="http://schemas.microsoft.com/office/drawing/2014/chart" uri="{C3380CC4-5D6E-409C-BE32-E72D297353CC}">
              <c16:uniqueId val="{00000001-B0A6-4899-8332-DCB9816A3A54}"/>
            </c:ext>
          </c:extLst>
        </c:ser>
        <c:dLbls>
          <c:showLegendKey val="0"/>
          <c:showVal val="0"/>
          <c:showCatName val="0"/>
          <c:showSerName val="0"/>
          <c:showPercent val="0"/>
          <c:showBubbleSize val="0"/>
        </c:dLbls>
        <c:smooth val="0"/>
        <c:axId val="1705041856"/>
        <c:axId val="1884948144"/>
      </c:lineChart>
      <c:catAx>
        <c:axId val="170504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948144"/>
        <c:crosses val="autoZero"/>
        <c:auto val="1"/>
        <c:lblAlgn val="ctr"/>
        <c:lblOffset val="100"/>
        <c:noMultiLvlLbl val="0"/>
      </c:catAx>
      <c:valAx>
        <c:axId val="1884948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04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aseline="0"/>
              <a:t>% retention based on mobile app dev sessions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mobile sessions per month per user &gt; 5</c:v>
          </c:tx>
          <c:spPr>
            <a:ln w="28575" cap="rnd">
              <a:solidFill>
                <a:schemeClr val="accent1"/>
              </a:solidFill>
              <a:round/>
            </a:ln>
            <a:effectLst/>
          </c:spPr>
          <c:marker>
            <c:symbol val="none"/>
          </c:marker>
          <c:cat>
            <c:numRef>
              <c:f>CohortAnalysis!$F$78:$I$78</c:f>
              <c:numCache>
                <c:formatCode>General</c:formatCode>
                <c:ptCount val="4"/>
                <c:pt idx="0">
                  <c:v>0</c:v>
                </c:pt>
                <c:pt idx="1">
                  <c:v>1</c:v>
                </c:pt>
                <c:pt idx="2">
                  <c:v>2</c:v>
                </c:pt>
                <c:pt idx="3">
                  <c:v>3</c:v>
                </c:pt>
              </c:numCache>
            </c:numRef>
          </c:cat>
          <c:val>
            <c:numRef>
              <c:f>CohortAnalysis!$F$68:$I$68</c:f>
              <c:numCache>
                <c:formatCode>0%</c:formatCode>
                <c:ptCount val="4"/>
                <c:pt idx="0">
                  <c:v>1</c:v>
                </c:pt>
                <c:pt idx="1">
                  <c:v>1</c:v>
                </c:pt>
                <c:pt idx="2">
                  <c:v>1</c:v>
                </c:pt>
                <c:pt idx="3">
                  <c:v>1</c:v>
                </c:pt>
              </c:numCache>
            </c:numRef>
          </c:val>
          <c:smooth val="0"/>
          <c:extLst>
            <c:ext xmlns:c16="http://schemas.microsoft.com/office/drawing/2014/chart" uri="{C3380CC4-5D6E-409C-BE32-E72D297353CC}">
              <c16:uniqueId val="{00000000-7274-4B15-B77D-C93209646AB2}"/>
            </c:ext>
          </c:extLst>
        </c:ser>
        <c:ser>
          <c:idx val="1"/>
          <c:order val="1"/>
          <c:tx>
            <c:v>mobile sessions per user per month &lt;=5</c:v>
          </c:tx>
          <c:spPr>
            <a:ln w="28575" cap="rnd">
              <a:solidFill>
                <a:schemeClr val="accent2"/>
              </a:solidFill>
              <a:round/>
            </a:ln>
            <a:effectLst/>
          </c:spPr>
          <c:marker>
            <c:symbol val="none"/>
          </c:marker>
          <c:cat>
            <c:numRef>
              <c:f>CohortAnalysis!$F$78:$I$78</c:f>
              <c:numCache>
                <c:formatCode>General</c:formatCode>
                <c:ptCount val="4"/>
                <c:pt idx="0">
                  <c:v>0</c:v>
                </c:pt>
                <c:pt idx="1">
                  <c:v>1</c:v>
                </c:pt>
                <c:pt idx="2">
                  <c:v>2</c:v>
                </c:pt>
                <c:pt idx="3">
                  <c:v>3</c:v>
                </c:pt>
              </c:numCache>
            </c:numRef>
          </c:cat>
          <c:val>
            <c:numRef>
              <c:f>CohortAnalysis!$F$82:$I$82</c:f>
              <c:numCache>
                <c:formatCode>0%</c:formatCode>
                <c:ptCount val="4"/>
                <c:pt idx="0">
                  <c:v>1</c:v>
                </c:pt>
                <c:pt idx="1">
                  <c:v>0.73137830107430146</c:v>
                </c:pt>
                <c:pt idx="2">
                  <c:v>0.7187448046550291</c:v>
                </c:pt>
                <c:pt idx="3">
                  <c:v>0.75</c:v>
                </c:pt>
              </c:numCache>
            </c:numRef>
          </c:val>
          <c:smooth val="0"/>
          <c:extLst>
            <c:ext xmlns:c16="http://schemas.microsoft.com/office/drawing/2014/chart" uri="{C3380CC4-5D6E-409C-BE32-E72D297353CC}">
              <c16:uniqueId val="{00000001-7274-4B15-B77D-C93209646AB2}"/>
            </c:ext>
          </c:extLst>
        </c:ser>
        <c:dLbls>
          <c:showLegendKey val="0"/>
          <c:showVal val="0"/>
          <c:showCatName val="0"/>
          <c:showSerName val="0"/>
          <c:showPercent val="0"/>
          <c:showBubbleSize val="0"/>
        </c:dLbls>
        <c:smooth val="0"/>
        <c:axId val="1919293952"/>
        <c:axId val="1884901968"/>
      </c:lineChart>
      <c:catAx>
        <c:axId val="191929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901968"/>
        <c:crosses val="autoZero"/>
        <c:auto val="1"/>
        <c:lblAlgn val="ctr"/>
        <c:lblOffset val="100"/>
        <c:noMultiLvlLbl val="0"/>
      </c:catAx>
      <c:valAx>
        <c:axId val="1884901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29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278</cp:revision>
  <dcterms:created xsi:type="dcterms:W3CDTF">2020-04-19T08:46:00Z</dcterms:created>
  <dcterms:modified xsi:type="dcterms:W3CDTF">2020-04-24T04:32:00Z</dcterms:modified>
</cp:coreProperties>
</file>