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企業実習アプリ制作</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適職提案アプリ「JobMBTI」</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・概要</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本ツールは、ユーザーが自分に向いている仕事を知る手助けをすることを目的としています。</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・目標</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自分に向いている仕事を知りたい人を支援する。</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・ターゲット</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自分に向い</w:t>
      </w:r>
      <w:r w:rsidDel="00000000" w:rsidR="00000000" w:rsidRPr="00000000">
        <w:rPr>
          <w:rFonts w:ascii="Arial Unicode MS" w:cs="Arial Unicode MS" w:eastAsia="Arial Unicode MS" w:hAnsi="Arial Unicode MS"/>
          <w:rtl w:val="0"/>
        </w:rPr>
        <w:t xml:space="preserve">ている</w:t>
      </w:r>
      <w:r w:rsidDel="00000000" w:rsidR="00000000" w:rsidRPr="00000000">
        <w:rPr>
          <w:rFonts w:ascii="Arial Unicode MS" w:cs="Arial Unicode MS" w:eastAsia="Arial Unicode MS" w:hAnsi="Arial Unicode MS"/>
          <w:rtl w:val="0"/>
        </w:rPr>
        <w:t xml:space="preserve">仕事を知りたい人。</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・機能要件</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1.リンク機能</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リンク先の公式サイトで性格診断を実施できる。</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性格診断ページへの遷移がスムーズに行えるようにする。</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2.選択機能</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ユーザーが自身のMBTIを選択できる。</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3.結果表示</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MBTIに基づき、ユーザーに向いている仕事を表示する。</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結果は分かりやすく、視覚的にも見やすい形式で提供する。</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・非機能要件</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パフォーマンス:結果表示までの時間が短く、ユーザーの待ち時間を最小限にする。</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ユーザビリティ:直感的で使いやすいインターフェースを提供し、ユーザーが迷わず操作できるようにする。</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信頼性:システムが安定して動作し、ユーザーが安心して利用できるようにする。</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拡張性:将来的な機能追加や変更に柔軟に対応できるように設計する。</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対応言語:日本語での操作を主とし、必要に応じて他言語にも対応可能とする。</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3月開講JAVAプログラマー養成科</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出席番号5　佐々木 果奈</w:t>
    </w:r>
  </w:p>
  <w:p w:rsidR="00000000" w:rsidDel="00000000" w:rsidP="00000000" w:rsidRDefault="00000000" w:rsidRPr="00000000" w14:paraId="0000002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