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D668FD">
              <w:pPr>
                <w:pStyle w:val="TOC1"/>
                <w:tabs>
                  <w:tab w:val="right" w:leader="dot" w:pos="9350"/>
                </w:tabs>
                <w:rPr>
                  <w:rFonts w:eastAsiaTheme="minorEastAsia"/>
                  <w:b w:val="0"/>
                  <w:noProof/>
                  <w:lang w:eastAsia="en-CA"/>
                </w:rPr>
              </w:pPr>
              <w:hyperlink w:anchor="_Toc88049339" w:history="1">
                <w:r w:rsidRPr="001A3129">
                  <w:rPr>
                    <w:rStyle w:val="Hyperlink"/>
                    <w:noProof/>
                  </w:rPr>
                  <w:t>Table of Contents</w:t>
                </w:r>
                <w:r>
                  <w:rPr>
                    <w:noProof/>
                    <w:webHidden/>
                  </w:rPr>
                  <w:tab/>
                </w:r>
                <w:r>
                  <w:rPr>
                    <w:noProof/>
                    <w:webHidden/>
                  </w:rPr>
                  <w:fldChar w:fldCharType="begin"/>
                </w:r>
                <w:r>
                  <w:rPr>
                    <w:noProof/>
                    <w:webHidden/>
                  </w:rPr>
                  <w:instrText xml:space="preserve"> PAGEREF _Toc88049339 \h </w:instrText>
                </w:r>
                <w:r>
                  <w:rPr>
                    <w:noProof/>
                    <w:webHidden/>
                  </w:rPr>
                </w:r>
                <w:r>
                  <w:rPr>
                    <w:noProof/>
                    <w:webHidden/>
                  </w:rPr>
                  <w:fldChar w:fldCharType="separate"/>
                </w:r>
                <w:r>
                  <w:rPr>
                    <w:noProof/>
                    <w:webHidden/>
                  </w:rPr>
                  <w:t>2</w:t>
                </w:r>
                <w:r>
                  <w:rPr>
                    <w:noProof/>
                    <w:webHidden/>
                  </w:rPr>
                  <w:fldChar w:fldCharType="end"/>
                </w:r>
              </w:hyperlink>
            </w:p>
            <w:p w14:paraId="7E779673" w14:textId="65AC1244" w:rsidR="00D668FD" w:rsidRDefault="00D668FD">
              <w:pPr>
                <w:pStyle w:val="TOC1"/>
                <w:tabs>
                  <w:tab w:val="right" w:leader="dot" w:pos="9350"/>
                </w:tabs>
                <w:rPr>
                  <w:rFonts w:eastAsiaTheme="minorEastAsia"/>
                  <w:b w:val="0"/>
                  <w:noProof/>
                  <w:lang w:eastAsia="en-CA"/>
                </w:rPr>
              </w:pPr>
              <w:hyperlink w:anchor="_Toc88049340" w:history="1">
                <w:r w:rsidRPr="001A3129">
                  <w:rPr>
                    <w:rStyle w:val="Hyperlink"/>
                    <w:noProof/>
                    <w:lang w:val="en-US"/>
                  </w:rPr>
                  <w:t>List of figures</w:t>
                </w:r>
                <w:r>
                  <w:rPr>
                    <w:noProof/>
                    <w:webHidden/>
                  </w:rPr>
                  <w:tab/>
                </w:r>
                <w:r>
                  <w:rPr>
                    <w:noProof/>
                    <w:webHidden/>
                  </w:rPr>
                  <w:fldChar w:fldCharType="begin"/>
                </w:r>
                <w:r>
                  <w:rPr>
                    <w:noProof/>
                    <w:webHidden/>
                  </w:rPr>
                  <w:instrText xml:space="preserve"> PAGEREF _Toc88049340 \h </w:instrText>
                </w:r>
                <w:r>
                  <w:rPr>
                    <w:noProof/>
                    <w:webHidden/>
                  </w:rPr>
                </w:r>
                <w:r>
                  <w:rPr>
                    <w:noProof/>
                    <w:webHidden/>
                  </w:rPr>
                  <w:fldChar w:fldCharType="separate"/>
                </w:r>
                <w:r>
                  <w:rPr>
                    <w:noProof/>
                    <w:webHidden/>
                  </w:rPr>
                  <w:t>3</w:t>
                </w:r>
                <w:r>
                  <w:rPr>
                    <w:noProof/>
                    <w:webHidden/>
                  </w:rPr>
                  <w:fldChar w:fldCharType="end"/>
                </w:r>
              </w:hyperlink>
            </w:p>
            <w:p w14:paraId="4CD3A945" w14:textId="737C38E1" w:rsidR="00D668FD" w:rsidRDefault="00D668FD">
              <w:pPr>
                <w:pStyle w:val="TOC1"/>
                <w:tabs>
                  <w:tab w:val="right" w:leader="dot" w:pos="9350"/>
                </w:tabs>
                <w:rPr>
                  <w:rFonts w:eastAsiaTheme="minorEastAsia"/>
                  <w:b w:val="0"/>
                  <w:noProof/>
                  <w:lang w:eastAsia="en-CA"/>
                </w:rPr>
              </w:pPr>
              <w:hyperlink w:anchor="_Toc88049341" w:history="1">
                <w:r w:rsidRPr="001A3129">
                  <w:rPr>
                    <w:rStyle w:val="Hyperlink"/>
                    <w:noProof/>
                    <w:lang w:val="en-US"/>
                  </w:rPr>
                  <w:t>List of tables</w:t>
                </w:r>
                <w:r>
                  <w:rPr>
                    <w:noProof/>
                    <w:webHidden/>
                  </w:rPr>
                  <w:tab/>
                </w:r>
                <w:r>
                  <w:rPr>
                    <w:noProof/>
                    <w:webHidden/>
                  </w:rPr>
                  <w:fldChar w:fldCharType="begin"/>
                </w:r>
                <w:r>
                  <w:rPr>
                    <w:noProof/>
                    <w:webHidden/>
                  </w:rPr>
                  <w:instrText xml:space="preserve"> PAGEREF _Toc88049341 \h </w:instrText>
                </w:r>
                <w:r>
                  <w:rPr>
                    <w:noProof/>
                    <w:webHidden/>
                  </w:rPr>
                </w:r>
                <w:r>
                  <w:rPr>
                    <w:noProof/>
                    <w:webHidden/>
                  </w:rPr>
                  <w:fldChar w:fldCharType="separate"/>
                </w:r>
                <w:r>
                  <w:rPr>
                    <w:noProof/>
                    <w:webHidden/>
                  </w:rPr>
                  <w:t>3</w:t>
                </w:r>
                <w:r>
                  <w:rPr>
                    <w:noProof/>
                    <w:webHidden/>
                  </w:rPr>
                  <w:fldChar w:fldCharType="end"/>
                </w:r>
              </w:hyperlink>
            </w:p>
            <w:p w14:paraId="6F11A0B1" w14:textId="54D6F5AE" w:rsidR="00D668FD" w:rsidRDefault="00D668FD">
              <w:pPr>
                <w:pStyle w:val="TOC1"/>
                <w:tabs>
                  <w:tab w:val="right" w:leader="dot" w:pos="9350"/>
                </w:tabs>
                <w:rPr>
                  <w:rFonts w:eastAsiaTheme="minorEastAsia"/>
                  <w:b w:val="0"/>
                  <w:noProof/>
                  <w:lang w:eastAsia="en-CA"/>
                </w:rPr>
              </w:pPr>
              <w:hyperlink w:anchor="_Toc88049342" w:history="1">
                <w:r w:rsidRPr="001A3129">
                  <w:rPr>
                    <w:rStyle w:val="Hyperlink"/>
                    <w:noProof/>
                    <w:lang w:val="en-US"/>
                  </w:rPr>
                  <w:t>List of abbreviations</w:t>
                </w:r>
                <w:r>
                  <w:rPr>
                    <w:noProof/>
                    <w:webHidden/>
                  </w:rPr>
                  <w:tab/>
                </w:r>
                <w:r>
                  <w:rPr>
                    <w:noProof/>
                    <w:webHidden/>
                  </w:rPr>
                  <w:fldChar w:fldCharType="begin"/>
                </w:r>
                <w:r>
                  <w:rPr>
                    <w:noProof/>
                    <w:webHidden/>
                  </w:rPr>
                  <w:instrText xml:space="preserve"> PAGEREF _Toc88049342 \h </w:instrText>
                </w:r>
                <w:r>
                  <w:rPr>
                    <w:noProof/>
                    <w:webHidden/>
                  </w:rPr>
                </w:r>
                <w:r>
                  <w:rPr>
                    <w:noProof/>
                    <w:webHidden/>
                  </w:rPr>
                  <w:fldChar w:fldCharType="separate"/>
                </w:r>
                <w:r>
                  <w:rPr>
                    <w:noProof/>
                    <w:webHidden/>
                  </w:rPr>
                  <w:t>3</w:t>
                </w:r>
                <w:r>
                  <w:rPr>
                    <w:noProof/>
                    <w:webHidden/>
                  </w:rPr>
                  <w:fldChar w:fldCharType="end"/>
                </w:r>
              </w:hyperlink>
            </w:p>
            <w:p w14:paraId="124EA455" w14:textId="413C0BEE" w:rsidR="00D668FD" w:rsidRDefault="00D668FD">
              <w:pPr>
                <w:pStyle w:val="TOC1"/>
                <w:tabs>
                  <w:tab w:val="right" w:leader="dot" w:pos="9350"/>
                </w:tabs>
                <w:rPr>
                  <w:rFonts w:eastAsiaTheme="minorEastAsia"/>
                  <w:b w:val="0"/>
                  <w:noProof/>
                  <w:lang w:eastAsia="en-CA"/>
                </w:rPr>
              </w:pPr>
              <w:hyperlink w:anchor="_Toc88049343" w:history="1">
                <w:r w:rsidRPr="001A3129">
                  <w:rPr>
                    <w:rStyle w:val="Hyperlink"/>
                    <w:noProof/>
                    <w:lang w:val="en-US"/>
                  </w:rPr>
                  <w:t>1. Abstract</w:t>
                </w:r>
                <w:r>
                  <w:rPr>
                    <w:noProof/>
                    <w:webHidden/>
                  </w:rPr>
                  <w:tab/>
                </w:r>
                <w:r>
                  <w:rPr>
                    <w:noProof/>
                    <w:webHidden/>
                  </w:rPr>
                  <w:fldChar w:fldCharType="begin"/>
                </w:r>
                <w:r>
                  <w:rPr>
                    <w:noProof/>
                    <w:webHidden/>
                  </w:rPr>
                  <w:instrText xml:space="preserve"> PAGEREF _Toc88049343 \h </w:instrText>
                </w:r>
                <w:r>
                  <w:rPr>
                    <w:noProof/>
                    <w:webHidden/>
                  </w:rPr>
                </w:r>
                <w:r>
                  <w:rPr>
                    <w:noProof/>
                    <w:webHidden/>
                  </w:rPr>
                  <w:fldChar w:fldCharType="separate"/>
                </w:r>
                <w:r>
                  <w:rPr>
                    <w:noProof/>
                    <w:webHidden/>
                  </w:rPr>
                  <w:t>5</w:t>
                </w:r>
                <w:r>
                  <w:rPr>
                    <w:noProof/>
                    <w:webHidden/>
                  </w:rPr>
                  <w:fldChar w:fldCharType="end"/>
                </w:r>
              </w:hyperlink>
            </w:p>
            <w:p w14:paraId="6E03186F" w14:textId="626CA438" w:rsidR="00D668FD" w:rsidRDefault="00D668FD">
              <w:pPr>
                <w:pStyle w:val="TOC1"/>
                <w:tabs>
                  <w:tab w:val="right" w:leader="dot" w:pos="9350"/>
                </w:tabs>
                <w:rPr>
                  <w:rFonts w:eastAsiaTheme="minorEastAsia"/>
                  <w:b w:val="0"/>
                  <w:noProof/>
                  <w:lang w:eastAsia="en-CA"/>
                </w:rPr>
              </w:pPr>
              <w:hyperlink w:anchor="_Toc88049344" w:history="1">
                <w:r w:rsidRPr="001A3129">
                  <w:rPr>
                    <w:rStyle w:val="Hyperlink"/>
                    <w:noProof/>
                    <w:lang w:val="en-US"/>
                  </w:rPr>
                  <w:t>2. Introduction</w:t>
                </w:r>
                <w:r>
                  <w:rPr>
                    <w:noProof/>
                    <w:webHidden/>
                  </w:rPr>
                  <w:tab/>
                </w:r>
                <w:r>
                  <w:rPr>
                    <w:noProof/>
                    <w:webHidden/>
                  </w:rPr>
                  <w:fldChar w:fldCharType="begin"/>
                </w:r>
                <w:r>
                  <w:rPr>
                    <w:noProof/>
                    <w:webHidden/>
                  </w:rPr>
                  <w:instrText xml:space="preserve"> PAGEREF _Toc88049344 \h </w:instrText>
                </w:r>
                <w:r>
                  <w:rPr>
                    <w:noProof/>
                    <w:webHidden/>
                  </w:rPr>
                </w:r>
                <w:r>
                  <w:rPr>
                    <w:noProof/>
                    <w:webHidden/>
                  </w:rPr>
                  <w:fldChar w:fldCharType="separate"/>
                </w:r>
                <w:r>
                  <w:rPr>
                    <w:noProof/>
                    <w:webHidden/>
                  </w:rPr>
                  <w:t>5</w:t>
                </w:r>
                <w:r>
                  <w:rPr>
                    <w:noProof/>
                    <w:webHidden/>
                  </w:rPr>
                  <w:fldChar w:fldCharType="end"/>
                </w:r>
              </w:hyperlink>
            </w:p>
            <w:p w14:paraId="07CD4613" w14:textId="794EE682" w:rsidR="00D668FD" w:rsidRDefault="00D668FD">
              <w:pPr>
                <w:pStyle w:val="TOC2"/>
                <w:tabs>
                  <w:tab w:val="right" w:leader="dot" w:pos="9350"/>
                </w:tabs>
                <w:rPr>
                  <w:rFonts w:eastAsiaTheme="minorEastAsia"/>
                  <w:noProof/>
                  <w:lang w:eastAsia="en-CA"/>
                </w:rPr>
              </w:pPr>
              <w:hyperlink w:anchor="_Toc88049345" w:history="1">
                <w:r w:rsidRPr="001A3129">
                  <w:rPr>
                    <w:rStyle w:val="Hyperlink"/>
                    <w:noProof/>
                  </w:rPr>
                  <w:t>2.1. Epigenetics</w:t>
                </w:r>
                <w:r>
                  <w:rPr>
                    <w:noProof/>
                    <w:webHidden/>
                  </w:rPr>
                  <w:tab/>
                </w:r>
                <w:r>
                  <w:rPr>
                    <w:noProof/>
                    <w:webHidden/>
                  </w:rPr>
                  <w:fldChar w:fldCharType="begin"/>
                </w:r>
                <w:r>
                  <w:rPr>
                    <w:noProof/>
                    <w:webHidden/>
                  </w:rPr>
                  <w:instrText xml:space="preserve"> PAGEREF _Toc88049345 \h </w:instrText>
                </w:r>
                <w:r>
                  <w:rPr>
                    <w:noProof/>
                    <w:webHidden/>
                  </w:rPr>
                </w:r>
                <w:r>
                  <w:rPr>
                    <w:noProof/>
                    <w:webHidden/>
                  </w:rPr>
                  <w:fldChar w:fldCharType="separate"/>
                </w:r>
                <w:r>
                  <w:rPr>
                    <w:noProof/>
                    <w:webHidden/>
                  </w:rPr>
                  <w:t>5</w:t>
                </w:r>
                <w:r>
                  <w:rPr>
                    <w:noProof/>
                    <w:webHidden/>
                  </w:rPr>
                  <w:fldChar w:fldCharType="end"/>
                </w:r>
              </w:hyperlink>
            </w:p>
            <w:p w14:paraId="6906022B" w14:textId="20392A05" w:rsidR="00D668FD" w:rsidRDefault="00D668FD">
              <w:pPr>
                <w:pStyle w:val="TOC3"/>
                <w:tabs>
                  <w:tab w:val="right" w:leader="dot" w:pos="9350"/>
                </w:tabs>
                <w:rPr>
                  <w:rFonts w:eastAsiaTheme="minorEastAsia"/>
                  <w:noProof/>
                  <w:lang w:eastAsia="en-CA"/>
                </w:rPr>
              </w:pPr>
              <w:hyperlink w:anchor="_Toc88049346" w:history="1">
                <w:r w:rsidRPr="001A3129">
                  <w:rPr>
                    <w:rStyle w:val="Hyperlink"/>
                    <w:noProof/>
                    <w:lang w:val="en-US"/>
                  </w:rPr>
                  <w:t>2.1.1. Methylation</w:t>
                </w:r>
                <w:r>
                  <w:rPr>
                    <w:noProof/>
                    <w:webHidden/>
                  </w:rPr>
                  <w:tab/>
                </w:r>
                <w:r>
                  <w:rPr>
                    <w:noProof/>
                    <w:webHidden/>
                  </w:rPr>
                  <w:fldChar w:fldCharType="begin"/>
                </w:r>
                <w:r>
                  <w:rPr>
                    <w:noProof/>
                    <w:webHidden/>
                  </w:rPr>
                  <w:instrText xml:space="preserve"> PAGEREF _Toc88049346 \h </w:instrText>
                </w:r>
                <w:r>
                  <w:rPr>
                    <w:noProof/>
                    <w:webHidden/>
                  </w:rPr>
                </w:r>
                <w:r>
                  <w:rPr>
                    <w:noProof/>
                    <w:webHidden/>
                  </w:rPr>
                  <w:fldChar w:fldCharType="separate"/>
                </w:r>
                <w:r>
                  <w:rPr>
                    <w:noProof/>
                    <w:webHidden/>
                  </w:rPr>
                  <w:t>5</w:t>
                </w:r>
                <w:r>
                  <w:rPr>
                    <w:noProof/>
                    <w:webHidden/>
                  </w:rPr>
                  <w:fldChar w:fldCharType="end"/>
                </w:r>
              </w:hyperlink>
            </w:p>
            <w:p w14:paraId="268E1F76" w14:textId="0934D72C" w:rsidR="00D668FD" w:rsidRDefault="00D668FD">
              <w:pPr>
                <w:pStyle w:val="TOC3"/>
                <w:tabs>
                  <w:tab w:val="right" w:leader="dot" w:pos="9350"/>
                </w:tabs>
                <w:rPr>
                  <w:rFonts w:eastAsiaTheme="minorEastAsia"/>
                  <w:noProof/>
                  <w:lang w:eastAsia="en-CA"/>
                </w:rPr>
              </w:pPr>
              <w:hyperlink w:anchor="_Toc88049347" w:history="1">
                <w:r w:rsidRPr="001A3129">
                  <w:rPr>
                    <w:rStyle w:val="Hyperlink"/>
                    <w:noProof/>
                    <w:lang w:val="en-US"/>
                  </w:rPr>
                  <w:t>2.1.2. Gene regulation</w:t>
                </w:r>
                <w:r>
                  <w:rPr>
                    <w:noProof/>
                    <w:webHidden/>
                  </w:rPr>
                  <w:tab/>
                </w:r>
                <w:r>
                  <w:rPr>
                    <w:noProof/>
                    <w:webHidden/>
                  </w:rPr>
                  <w:fldChar w:fldCharType="begin"/>
                </w:r>
                <w:r>
                  <w:rPr>
                    <w:noProof/>
                    <w:webHidden/>
                  </w:rPr>
                  <w:instrText xml:space="preserve"> PAGEREF _Toc88049347 \h </w:instrText>
                </w:r>
                <w:r>
                  <w:rPr>
                    <w:noProof/>
                    <w:webHidden/>
                  </w:rPr>
                </w:r>
                <w:r>
                  <w:rPr>
                    <w:noProof/>
                    <w:webHidden/>
                  </w:rPr>
                  <w:fldChar w:fldCharType="separate"/>
                </w:r>
                <w:r>
                  <w:rPr>
                    <w:noProof/>
                    <w:webHidden/>
                  </w:rPr>
                  <w:t>5</w:t>
                </w:r>
                <w:r>
                  <w:rPr>
                    <w:noProof/>
                    <w:webHidden/>
                  </w:rPr>
                  <w:fldChar w:fldCharType="end"/>
                </w:r>
              </w:hyperlink>
            </w:p>
            <w:p w14:paraId="3559C4AA" w14:textId="56392685" w:rsidR="00D668FD" w:rsidRDefault="00D668FD">
              <w:pPr>
                <w:pStyle w:val="TOC3"/>
                <w:tabs>
                  <w:tab w:val="right" w:leader="dot" w:pos="9350"/>
                </w:tabs>
                <w:rPr>
                  <w:rFonts w:eastAsiaTheme="minorEastAsia"/>
                  <w:noProof/>
                  <w:lang w:eastAsia="en-CA"/>
                </w:rPr>
              </w:pPr>
              <w:hyperlink w:anchor="_Toc88049348" w:history="1">
                <w:r w:rsidRPr="001A3129">
                  <w:rPr>
                    <w:rStyle w:val="Hyperlink"/>
                    <w:noProof/>
                    <w:lang w:val="en-US"/>
                  </w:rPr>
                  <w:t>2.1.3. Differentiation and development</w:t>
                </w:r>
                <w:r>
                  <w:rPr>
                    <w:noProof/>
                    <w:webHidden/>
                  </w:rPr>
                  <w:tab/>
                </w:r>
                <w:r>
                  <w:rPr>
                    <w:noProof/>
                    <w:webHidden/>
                  </w:rPr>
                  <w:fldChar w:fldCharType="begin"/>
                </w:r>
                <w:r>
                  <w:rPr>
                    <w:noProof/>
                    <w:webHidden/>
                  </w:rPr>
                  <w:instrText xml:space="preserve"> PAGEREF _Toc88049348 \h </w:instrText>
                </w:r>
                <w:r>
                  <w:rPr>
                    <w:noProof/>
                    <w:webHidden/>
                  </w:rPr>
                </w:r>
                <w:r>
                  <w:rPr>
                    <w:noProof/>
                    <w:webHidden/>
                  </w:rPr>
                  <w:fldChar w:fldCharType="separate"/>
                </w:r>
                <w:r>
                  <w:rPr>
                    <w:noProof/>
                    <w:webHidden/>
                  </w:rPr>
                  <w:t>6</w:t>
                </w:r>
                <w:r>
                  <w:rPr>
                    <w:noProof/>
                    <w:webHidden/>
                  </w:rPr>
                  <w:fldChar w:fldCharType="end"/>
                </w:r>
              </w:hyperlink>
            </w:p>
            <w:p w14:paraId="4FDA7C95" w14:textId="00B34AE1" w:rsidR="00D668FD" w:rsidRDefault="00D668FD">
              <w:pPr>
                <w:pStyle w:val="TOC3"/>
                <w:tabs>
                  <w:tab w:val="right" w:leader="dot" w:pos="9350"/>
                </w:tabs>
                <w:rPr>
                  <w:rFonts w:eastAsiaTheme="minorEastAsia"/>
                  <w:noProof/>
                  <w:lang w:eastAsia="en-CA"/>
                </w:rPr>
              </w:pPr>
              <w:hyperlink w:anchor="_Toc88049349" w:history="1">
                <w:r w:rsidRPr="001A3129">
                  <w:rPr>
                    <w:rStyle w:val="Hyperlink"/>
                    <w:noProof/>
                    <w:lang w:val="en-US"/>
                  </w:rPr>
                  <w:t>2.1.4. Epimutations</w:t>
                </w:r>
                <w:r>
                  <w:rPr>
                    <w:noProof/>
                    <w:webHidden/>
                  </w:rPr>
                  <w:tab/>
                </w:r>
                <w:r>
                  <w:rPr>
                    <w:noProof/>
                    <w:webHidden/>
                  </w:rPr>
                  <w:fldChar w:fldCharType="begin"/>
                </w:r>
                <w:r>
                  <w:rPr>
                    <w:noProof/>
                    <w:webHidden/>
                  </w:rPr>
                  <w:instrText xml:space="preserve"> PAGEREF _Toc88049349 \h </w:instrText>
                </w:r>
                <w:r>
                  <w:rPr>
                    <w:noProof/>
                    <w:webHidden/>
                  </w:rPr>
                </w:r>
                <w:r>
                  <w:rPr>
                    <w:noProof/>
                    <w:webHidden/>
                  </w:rPr>
                  <w:fldChar w:fldCharType="separate"/>
                </w:r>
                <w:r>
                  <w:rPr>
                    <w:noProof/>
                    <w:webHidden/>
                  </w:rPr>
                  <w:t>6</w:t>
                </w:r>
                <w:r>
                  <w:rPr>
                    <w:noProof/>
                    <w:webHidden/>
                  </w:rPr>
                  <w:fldChar w:fldCharType="end"/>
                </w:r>
              </w:hyperlink>
            </w:p>
            <w:p w14:paraId="0BEA3D45" w14:textId="41E1B6A4" w:rsidR="00D668FD" w:rsidRDefault="00D668FD">
              <w:pPr>
                <w:pStyle w:val="TOC2"/>
                <w:tabs>
                  <w:tab w:val="right" w:leader="dot" w:pos="9350"/>
                </w:tabs>
                <w:rPr>
                  <w:rFonts w:eastAsiaTheme="minorEastAsia"/>
                  <w:noProof/>
                  <w:lang w:eastAsia="en-CA"/>
                </w:rPr>
              </w:pPr>
              <w:hyperlink w:anchor="_Toc88049350" w:history="1">
                <w:r w:rsidRPr="001A3129">
                  <w:rPr>
                    <w:rStyle w:val="Hyperlink"/>
                    <w:noProof/>
                    <w:lang w:val="en-US"/>
                  </w:rPr>
                  <w:t>2.2. Implications to disease</w:t>
                </w:r>
                <w:r>
                  <w:rPr>
                    <w:noProof/>
                    <w:webHidden/>
                  </w:rPr>
                  <w:tab/>
                </w:r>
                <w:r>
                  <w:rPr>
                    <w:noProof/>
                    <w:webHidden/>
                  </w:rPr>
                  <w:fldChar w:fldCharType="begin"/>
                </w:r>
                <w:r>
                  <w:rPr>
                    <w:noProof/>
                    <w:webHidden/>
                  </w:rPr>
                  <w:instrText xml:space="preserve"> PAGEREF _Toc88049350 \h </w:instrText>
                </w:r>
                <w:r>
                  <w:rPr>
                    <w:noProof/>
                    <w:webHidden/>
                  </w:rPr>
                </w:r>
                <w:r>
                  <w:rPr>
                    <w:noProof/>
                    <w:webHidden/>
                  </w:rPr>
                  <w:fldChar w:fldCharType="separate"/>
                </w:r>
                <w:r>
                  <w:rPr>
                    <w:noProof/>
                    <w:webHidden/>
                  </w:rPr>
                  <w:t>7</w:t>
                </w:r>
                <w:r>
                  <w:rPr>
                    <w:noProof/>
                    <w:webHidden/>
                  </w:rPr>
                  <w:fldChar w:fldCharType="end"/>
                </w:r>
              </w:hyperlink>
            </w:p>
            <w:p w14:paraId="343D2B14" w14:textId="4A1A46F9" w:rsidR="00D668FD" w:rsidRDefault="00D668FD">
              <w:pPr>
                <w:pStyle w:val="TOC3"/>
                <w:tabs>
                  <w:tab w:val="right" w:leader="dot" w:pos="9350"/>
                </w:tabs>
                <w:rPr>
                  <w:rFonts w:eastAsiaTheme="minorEastAsia"/>
                  <w:noProof/>
                  <w:lang w:eastAsia="en-CA"/>
                </w:rPr>
              </w:pPr>
              <w:hyperlink w:anchor="_Toc88049351" w:history="1">
                <w:r w:rsidRPr="001A3129">
                  <w:rPr>
                    <w:rStyle w:val="Hyperlink"/>
                    <w:noProof/>
                    <w:lang w:val="en-US"/>
                  </w:rPr>
                  <w:t>2.2.1. Cancer</w:t>
                </w:r>
                <w:r>
                  <w:rPr>
                    <w:noProof/>
                    <w:webHidden/>
                  </w:rPr>
                  <w:tab/>
                </w:r>
                <w:r>
                  <w:rPr>
                    <w:noProof/>
                    <w:webHidden/>
                  </w:rPr>
                  <w:fldChar w:fldCharType="begin"/>
                </w:r>
                <w:r>
                  <w:rPr>
                    <w:noProof/>
                    <w:webHidden/>
                  </w:rPr>
                  <w:instrText xml:space="preserve"> PAGEREF _Toc88049351 \h </w:instrText>
                </w:r>
                <w:r>
                  <w:rPr>
                    <w:noProof/>
                    <w:webHidden/>
                  </w:rPr>
                </w:r>
                <w:r>
                  <w:rPr>
                    <w:noProof/>
                    <w:webHidden/>
                  </w:rPr>
                  <w:fldChar w:fldCharType="separate"/>
                </w:r>
                <w:r>
                  <w:rPr>
                    <w:noProof/>
                    <w:webHidden/>
                  </w:rPr>
                  <w:t>7</w:t>
                </w:r>
                <w:r>
                  <w:rPr>
                    <w:noProof/>
                    <w:webHidden/>
                  </w:rPr>
                  <w:fldChar w:fldCharType="end"/>
                </w:r>
              </w:hyperlink>
            </w:p>
            <w:p w14:paraId="29AA5BC9" w14:textId="6FA800E5" w:rsidR="00D668FD" w:rsidRDefault="00D668FD">
              <w:pPr>
                <w:pStyle w:val="TOC3"/>
                <w:tabs>
                  <w:tab w:val="right" w:leader="dot" w:pos="9350"/>
                </w:tabs>
                <w:rPr>
                  <w:rFonts w:eastAsiaTheme="minorEastAsia"/>
                  <w:noProof/>
                  <w:lang w:eastAsia="en-CA"/>
                </w:rPr>
              </w:pPr>
              <w:hyperlink w:anchor="_Toc88049352" w:history="1">
                <w:r w:rsidRPr="001A3129">
                  <w:rPr>
                    <w:rStyle w:val="Hyperlink"/>
                    <w:noProof/>
                    <w:lang w:val="en-US"/>
                  </w:rPr>
                  <w:t>2.2.2. Glioma</w:t>
                </w:r>
                <w:r>
                  <w:rPr>
                    <w:noProof/>
                    <w:webHidden/>
                  </w:rPr>
                  <w:tab/>
                </w:r>
                <w:r>
                  <w:rPr>
                    <w:noProof/>
                    <w:webHidden/>
                  </w:rPr>
                  <w:fldChar w:fldCharType="begin"/>
                </w:r>
                <w:r>
                  <w:rPr>
                    <w:noProof/>
                    <w:webHidden/>
                  </w:rPr>
                  <w:instrText xml:space="preserve"> PAGEREF _Toc88049352 \h </w:instrText>
                </w:r>
                <w:r>
                  <w:rPr>
                    <w:noProof/>
                    <w:webHidden/>
                  </w:rPr>
                </w:r>
                <w:r>
                  <w:rPr>
                    <w:noProof/>
                    <w:webHidden/>
                  </w:rPr>
                  <w:fldChar w:fldCharType="separate"/>
                </w:r>
                <w:r>
                  <w:rPr>
                    <w:noProof/>
                    <w:webHidden/>
                  </w:rPr>
                  <w:t>8</w:t>
                </w:r>
                <w:r>
                  <w:rPr>
                    <w:noProof/>
                    <w:webHidden/>
                  </w:rPr>
                  <w:fldChar w:fldCharType="end"/>
                </w:r>
              </w:hyperlink>
            </w:p>
            <w:p w14:paraId="078FE65F" w14:textId="5C994851" w:rsidR="00D668FD" w:rsidRDefault="00D668FD">
              <w:pPr>
                <w:pStyle w:val="TOC3"/>
                <w:tabs>
                  <w:tab w:val="right" w:leader="dot" w:pos="9350"/>
                </w:tabs>
                <w:rPr>
                  <w:rFonts w:eastAsiaTheme="minorEastAsia"/>
                  <w:noProof/>
                  <w:lang w:eastAsia="en-CA"/>
                </w:rPr>
              </w:pPr>
              <w:hyperlink w:anchor="_Toc88049353" w:history="1">
                <w:r w:rsidRPr="001A3129">
                  <w:rPr>
                    <w:rStyle w:val="Hyperlink"/>
                    <w:noProof/>
                    <w:lang w:val="en-US"/>
                  </w:rPr>
                  <w:t>2.2.3. Tumor-associated macrophages</w:t>
                </w:r>
                <w:r>
                  <w:rPr>
                    <w:noProof/>
                    <w:webHidden/>
                  </w:rPr>
                  <w:tab/>
                </w:r>
                <w:r>
                  <w:rPr>
                    <w:noProof/>
                    <w:webHidden/>
                  </w:rPr>
                  <w:fldChar w:fldCharType="begin"/>
                </w:r>
                <w:r>
                  <w:rPr>
                    <w:noProof/>
                    <w:webHidden/>
                  </w:rPr>
                  <w:instrText xml:space="preserve"> PAGEREF _Toc88049353 \h </w:instrText>
                </w:r>
                <w:r>
                  <w:rPr>
                    <w:noProof/>
                    <w:webHidden/>
                  </w:rPr>
                </w:r>
                <w:r>
                  <w:rPr>
                    <w:noProof/>
                    <w:webHidden/>
                  </w:rPr>
                  <w:fldChar w:fldCharType="separate"/>
                </w:r>
                <w:r>
                  <w:rPr>
                    <w:noProof/>
                    <w:webHidden/>
                  </w:rPr>
                  <w:t>8</w:t>
                </w:r>
                <w:r>
                  <w:rPr>
                    <w:noProof/>
                    <w:webHidden/>
                  </w:rPr>
                  <w:fldChar w:fldCharType="end"/>
                </w:r>
              </w:hyperlink>
            </w:p>
            <w:p w14:paraId="36856E67" w14:textId="640CAB37" w:rsidR="00D668FD" w:rsidRDefault="00D668FD">
              <w:pPr>
                <w:pStyle w:val="TOC3"/>
                <w:tabs>
                  <w:tab w:val="right" w:leader="dot" w:pos="9350"/>
                </w:tabs>
                <w:rPr>
                  <w:rFonts w:eastAsiaTheme="minorEastAsia"/>
                  <w:noProof/>
                  <w:lang w:eastAsia="en-CA"/>
                </w:rPr>
              </w:pPr>
              <w:hyperlink w:anchor="_Toc88049354" w:history="1">
                <w:r w:rsidRPr="001A3129">
                  <w:rPr>
                    <w:rStyle w:val="Hyperlink"/>
                    <w:noProof/>
                    <w:lang w:val="en-US"/>
                  </w:rPr>
                  <w:t>2.2.4. Potential for treatments</w:t>
                </w:r>
                <w:r>
                  <w:rPr>
                    <w:noProof/>
                    <w:webHidden/>
                  </w:rPr>
                  <w:tab/>
                </w:r>
                <w:r>
                  <w:rPr>
                    <w:noProof/>
                    <w:webHidden/>
                  </w:rPr>
                  <w:fldChar w:fldCharType="begin"/>
                </w:r>
                <w:r>
                  <w:rPr>
                    <w:noProof/>
                    <w:webHidden/>
                  </w:rPr>
                  <w:instrText xml:space="preserve"> PAGEREF _Toc88049354 \h </w:instrText>
                </w:r>
                <w:r>
                  <w:rPr>
                    <w:noProof/>
                    <w:webHidden/>
                  </w:rPr>
                </w:r>
                <w:r>
                  <w:rPr>
                    <w:noProof/>
                    <w:webHidden/>
                  </w:rPr>
                  <w:fldChar w:fldCharType="separate"/>
                </w:r>
                <w:r>
                  <w:rPr>
                    <w:noProof/>
                    <w:webHidden/>
                  </w:rPr>
                  <w:t>8</w:t>
                </w:r>
                <w:r>
                  <w:rPr>
                    <w:noProof/>
                    <w:webHidden/>
                  </w:rPr>
                  <w:fldChar w:fldCharType="end"/>
                </w:r>
              </w:hyperlink>
            </w:p>
            <w:p w14:paraId="37E93F7C" w14:textId="13358A67" w:rsidR="00D668FD" w:rsidRDefault="00D668FD">
              <w:pPr>
                <w:pStyle w:val="TOC2"/>
                <w:tabs>
                  <w:tab w:val="right" w:leader="dot" w:pos="9350"/>
                </w:tabs>
                <w:rPr>
                  <w:rFonts w:eastAsiaTheme="minorEastAsia"/>
                  <w:noProof/>
                  <w:lang w:eastAsia="en-CA"/>
                </w:rPr>
              </w:pPr>
              <w:hyperlink w:anchor="_Toc88049355" w:history="1">
                <w:r w:rsidRPr="001A3129">
                  <w:rPr>
                    <w:rStyle w:val="Hyperlink"/>
                    <w:noProof/>
                    <w:lang w:val="en-US"/>
                  </w:rPr>
                  <w:t>2.3. Quantifying methylation</w:t>
                </w:r>
                <w:r>
                  <w:rPr>
                    <w:noProof/>
                    <w:webHidden/>
                  </w:rPr>
                  <w:tab/>
                </w:r>
                <w:r>
                  <w:rPr>
                    <w:noProof/>
                    <w:webHidden/>
                  </w:rPr>
                  <w:fldChar w:fldCharType="begin"/>
                </w:r>
                <w:r>
                  <w:rPr>
                    <w:noProof/>
                    <w:webHidden/>
                  </w:rPr>
                  <w:instrText xml:space="preserve"> PAGEREF _Toc88049355 \h </w:instrText>
                </w:r>
                <w:r>
                  <w:rPr>
                    <w:noProof/>
                    <w:webHidden/>
                  </w:rPr>
                </w:r>
                <w:r>
                  <w:rPr>
                    <w:noProof/>
                    <w:webHidden/>
                  </w:rPr>
                  <w:fldChar w:fldCharType="separate"/>
                </w:r>
                <w:r>
                  <w:rPr>
                    <w:noProof/>
                    <w:webHidden/>
                  </w:rPr>
                  <w:t>10</w:t>
                </w:r>
                <w:r>
                  <w:rPr>
                    <w:noProof/>
                    <w:webHidden/>
                  </w:rPr>
                  <w:fldChar w:fldCharType="end"/>
                </w:r>
              </w:hyperlink>
            </w:p>
            <w:p w14:paraId="0A353844" w14:textId="27004833" w:rsidR="00D668FD" w:rsidRDefault="00D668FD">
              <w:pPr>
                <w:pStyle w:val="TOC3"/>
                <w:tabs>
                  <w:tab w:val="right" w:leader="dot" w:pos="9350"/>
                </w:tabs>
                <w:rPr>
                  <w:rFonts w:eastAsiaTheme="minorEastAsia"/>
                  <w:noProof/>
                  <w:lang w:eastAsia="en-CA"/>
                </w:rPr>
              </w:pPr>
              <w:hyperlink w:anchor="_Toc88049356" w:history="1">
                <w:r w:rsidRPr="001A3129">
                  <w:rPr>
                    <w:rStyle w:val="Hyperlink"/>
                    <w:noProof/>
                    <w:lang w:val="en-US"/>
                  </w:rPr>
                  <w:t>2.3.1. Methylation arrays</w:t>
                </w:r>
                <w:r>
                  <w:rPr>
                    <w:noProof/>
                    <w:webHidden/>
                  </w:rPr>
                  <w:tab/>
                </w:r>
                <w:r>
                  <w:rPr>
                    <w:noProof/>
                    <w:webHidden/>
                  </w:rPr>
                  <w:fldChar w:fldCharType="begin"/>
                </w:r>
                <w:r>
                  <w:rPr>
                    <w:noProof/>
                    <w:webHidden/>
                  </w:rPr>
                  <w:instrText xml:space="preserve"> PAGEREF _Toc88049356 \h </w:instrText>
                </w:r>
                <w:r>
                  <w:rPr>
                    <w:noProof/>
                    <w:webHidden/>
                  </w:rPr>
                </w:r>
                <w:r>
                  <w:rPr>
                    <w:noProof/>
                    <w:webHidden/>
                  </w:rPr>
                  <w:fldChar w:fldCharType="separate"/>
                </w:r>
                <w:r>
                  <w:rPr>
                    <w:noProof/>
                    <w:webHidden/>
                  </w:rPr>
                  <w:t>10</w:t>
                </w:r>
                <w:r>
                  <w:rPr>
                    <w:noProof/>
                    <w:webHidden/>
                  </w:rPr>
                  <w:fldChar w:fldCharType="end"/>
                </w:r>
              </w:hyperlink>
            </w:p>
            <w:p w14:paraId="36BC2F5E" w14:textId="23FC8D7F" w:rsidR="00D668FD" w:rsidRDefault="00D668FD">
              <w:pPr>
                <w:pStyle w:val="TOC3"/>
                <w:tabs>
                  <w:tab w:val="right" w:leader="dot" w:pos="9350"/>
                </w:tabs>
                <w:rPr>
                  <w:rFonts w:eastAsiaTheme="minorEastAsia"/>
                  <w:noProof/>
                  <w:lang w:eastAsia="en-CA"/>
                </w:rPr>
              </w:pPr>
              <w:hyperlink w:anchor="_Toc88049357" w:history="1">
                <w:r w:rsidRPr="001A3129">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_Toc88049357 \h </w:instrText>
                </w:r>
                <w:r>
                  <w:rPr>
                    <w:noProof/>
                    <w:webHidden/>
                  </w:rPr>
                </w:r>
                <w:r>
                  <w:rPr>
                    <w:noProof/>
                    <w:webHidden/>
                  </w:rPr>
                  <w:fldChar w:fldCharType="separate"/>
                </w:r>
                <w:r>
                  <w:rPr>
                    <w:noProof/>
                    <w:webHidden/>
                  </w:rPr>
                  <w:t>10</w:t>
                </w:r>
                <w:r>
                  <w:rPr>
                    <w:noProof/>
                    <w:webHidden/>
                  </w:rPr>
                  <w:fldChar w:fldCharType="end"/>
                </w:r>
              </w:hyperlink>
            </w:p>
            <w:p w14:paraId="6C71F87F" w14:textId="5529E4E9" w:rsidR="00D668FD" w:rsidRDefault="00D668FD">
              <w:pPr>
                <w:pStyle w:val="TOC3"/>
                <w:tabs>
                  <w:tab w:val="right" w:leader="dot" w:pos="9350"/>
                </w:tabs>
                <w:rPr>
                  <w:rFonts w:eastAsiaTheme="minorEastAsia"/>
                  <w:noProof/>
                  <w:lang w:eastAsia="en-CA"/>
                </w:rPr>
              </w:pPr>
              <w:hyperlink w:anchor="_Toc88049358" w:history="1">
                <w:r w:rsidRPr="001A3129">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_Toc88049358 \h </w:instrText>
                </w:r>
                <w:r>
                  <w:rPr>
                    <w:noProof/>
                    <w:webHidden/>
                  </w:rPr>
                </w:r>
                <w:r>
                  <w:rPr>
                    <w:noProof/>
                    <w:webHidden/>
                  </w:rPr>
                  <w:fldChar w:fldCharType="separate"/>
                </w:r>
                <w:r>
                  <w:rPr>
                    <w:noProof/>
                    <w:webHidden/>
                  </w:rPr>
                  <w:t>10</w:t>
                </w:r>
                <w:r>
                  <w:rPr>
                    <w:noProof/>
                    <w:webHidden/>
                  </w:rPr>
                  <w:fldChar w:fldCharType="end"/>
                </w:r>
              </w:hyperlink>
            </w:p>
            <w:p w14:paraId="6B5707AF" w14:textId="4382D127" w:rsidR="00D668FD" w:rsidRDefault="00D668FD">
              <w:pPr>
                <w:pStyle w:val="TOC2"/>
                <w:tabs>
                  <w:tab w:val="right" w:leader="dot" w:pos="9350"/>
                </w:tabs>
                <w:rPr>
                  <w:rFonts w:eastAsiaTheme="minorEastAsia"/>
                  <w:noProof/>
                  <w:lang w:eastAsia="en-CA"/>
                </w:rPr>
              </w:pPr>
              <w:hyperlink w:anchor="_Toc88049359" w:history="1">
                <w:r w:rsidRPr="001A3129">
                  <w:rPr>
                    <w:rStyle w:val="Hyperlink"/>
                    <w:noProof/>
                    <w:lang w:val="en-US"/>
                  </w:rPr>
                  <w:t>2.4. Project aim</w:t>
                </w:r>
                <w:r>
                  <w:rPr>
                    <w:noProof/>
                    <w:webHidden/>
                  </w:rPr>
                  <w:tab/>
                </w:r>
                <w:r>
                  <w:rPr>
                    <w:noProof/>
                    <w:webHidden/>
                  </w:rPr>
                  <w:fldChar w:fldCharType="begin"/>
                </w:r>
                <w:r>
                  <w:rPr>
                    <w:noProof/>
                    <w:webHidden/>
                  </w:rPr>
                  <w:instrText xml:space="preserve"> PAGEREF _Toc88049359 \h </w:instrText>
                </w:r>
                <w:r>
                  <w:rPr>
                    <w:noProof/>
                    <w:webHidden/>
                  </w:rPr>
                </w:r>
                <w:r>
                  <w:rPr>
                    <w:noProof/>
                    <w:webHidden/>
                  </w:rPr>
                  <w:fldChar w:fldCharType="separate"/>
                </w:r>
                <w:r>
                  <w:rPr>
                    <w:noProof/>
                    <w:webHidden/>
                  </w:rPr>
                  <w:t>11</w:t>
                </w:r>
                <w:r>
                  <w:rPr>
                    <w:noProof/>
                    <w:webHidden/>
                  </w:rPr>
                  <w:fldChar w:fldCharType="end"/>
                </w:r>
              </w:hyperlink>
            </w:p>
            <w:p w14:paraId="04CEC5FB" w14:textId="7103B4FD" w:rsidR="00D668FD" w:rsidRDefault="00D668FD">
              <w:pPr>
                <w:pStyle w:val="TOC1"/>
                <w:tabs>
                  <w:tab w:val="right" w:leader="dot" w:pos="9350"/>
                </w:tabs>
                <w:rPr>
                  <w:rFonts w:eastAsiaTheme="minorEastAsia"/>
                  <w:b w:val="0"/>
                  <w:noProof/>
                  <w:lang w:eastAsia="en-CA"/>
                </w:rPr>
              </w:pPr>
              <w:hyperlink w:anchor="_Toc88049360" w:history="1">
                <w:r w:rsidRPr="001A3129">
                  <w:rPr>
                    <w:rStyle w:val="Hyperlink"/>
                    <w:noProof/>
                    <w:lang w:val="en-US"/>
                  </w:rPr>
                  <w:t>3. Methods</w:t>
                </w:r>
                <w:r>
                  <w:rPr>
                    <w:noProof/>
                    <w:webHidden/>
                  </w:rPr>
                  <w:tab/>
                </w:r>
                <w:r>
                  <w:rPr>
                    <w:noProof/>
                    <w:webHidden/>
                  </w:rPr>
                  <w:fldChar w:fldCharType="begin"/>
                </w:r>
                <w:r>
                  <w:rPr>
                    <w:noProof/>
                    <w:webHidden/>
                  </w:rPr>
                  <w:instrText xml:space="preserve"> PAGEREF _Toc88049360 \h </w:instrText>
                </w:r>
                <w:r>
                  <w:rPr>
                    <w:noProof/>
                    <w:webHidden/>
                  </w:rPr>
                </w:r>
                <w:r>
                  <w:rPr>
                    <w:noProof/>
                    <w:webHidden/>
                  </w:rPr>
                  <w:fldChar w:fldCharType="separate"/>
                </w:r>
                <w:r>
                  <w:rPr>
                    <w:noProof/>
                    <w:webHidden/>
                  </w:rPr>
                  <w:t>11</w:t>
                </w:r>
                <w:r>
                  <w:rPr>
                    <w:noProof/>
                    <w:webHidden/>
                  </w:rPr>
                  <w:fldChar w:fldCharType="end"/>
                </w:r>
              </w:hyperlink>
            </w:p>
            <w:p w14:paraId="0B8DD5F9" w14:textId="34B222C8" w:rsidR="00D668FD" w:rsidRDefault="00D668FD">
              <w:pPr>
                <w:pStyle w:val="TOC2"/>
                <w:tabs>
                  <w:tab w:val="right" w:leader="dot" w:pos="9350"/>
                </w:tabs>
                <w:rPr>
                  <w:rFonts w:eastAsiaTheme="minorEastAsia"/>
                  <w:noProof/>
                  <w:lang w:eastAsia="en-CA"/>
                </w:rPr>
              </w:pPr>
              <w:hyperlink w:anchor="_Toc88049361" w:history="1">
                <w:r w:rsidRPr="001A3129">
                  <w:rPr>
                    <w:rStyle w:val="Hyperlink"/>
                    <w:noProof/>
                    <w:lang w:val="en-US"/>
                  </w:rPr>
                  <w:t>3.1. scMethrix</w:t>
                </w:r>
                <w:r>
                  <w:rPr>
                    <w:noProof/>
                    <w:webHidden/>
                  </w:rPr>
                  <w:tab/>
                </w:r>
                <w:r>
                  <w:rPr>
                    <w:noProof/>
                    <w:webHidden/>
                  </w:rPr>
                  <w:fldChar w:fldCharType="begin"/>
                </w:r>
                <w:r>
                  <w:rPr>
                    <w:noProof/>
                    <w:webHidden/>
                  </w:rPr>
                  <w:instrText xml:space="preserve"> PAGEREF _Toc88049361 \h </w:instrText>
                </w:r>
                <w:r>
                  <w:rPr>
                    <w:noProof/>
                    <w:webHidden/>
                  </w:rPr>
                </w:r>
                <w:r>
                  <w:rPr>
                    <w:noProof/>
                    <w:webHidden/>
                  </w:rPr>
                  <w:fldChar w:fldCharType="separate"/>
                </w:r>
                <w:r>
                  <w:rPr>
                    <w:noProof/>
                    <w:webHidden/>
                  </w:rPr>
                  <w:t>11</w:t>
                </w:r>
                <w:r>
                  <w:rPr>
                    <w:noProof/>
                    <w:webHidden/>
                  </w:rPr>
                  <w:fldChar w:fldCharType="end"/>
                </w:r>
              </w:hyperlink>
            </w:p>
            <w:p w14:paraId="5B56763D" w14:textId="59E1BF9E" w:rsidR="00D668FD" w:rsidRDefault="00D668FD">
              <w:pPr>
                <w:pStyle w:val="TOC3"/>
                <w:tabs>
                  <w:tab w:val="right" w:leader="dot" w:pos="9350"/>
                </w:tabs>
                <w:rPr>
                  <w:rFonts w:eastAsiaTheme="minorEastAsia"/>
                  <w:noProof/>
                  <w:lang w:eastAsia="en-CA"/>
                </w:rPr>
              </w:pPr>
              <w:hyperlink w:anchor="_Toc88049362" w:history="1">
                <w:r w:rsidRPr="001A3129">
                  <w:rPr>
                    <w:rStyle w:val="Hyperlink"/>
                    <w:noProof/>
                    <w:lang w:val="en-US"/>
                  </w:rPr>
                  <w:t>3.1.1. Overview</w:t>
                </w:r>
                <w:r>
                  <w:rPr>
                    <w:noProof/>
                    <w:webHidden/>
                  </w:rPr>
                  <w:tab/>
                </w:r>
                <w:r>
                  <w:rPr>
                    <w:noProof/>
                    <w:webHidden/>
                  </w:rPr>
                  <w:fldChar w:fldCharType="begin"/>
                </w:r>
                <w:r>
                  <w:rPr>
                    <w:noProof/>
                    <w:webHidden/>
                  </w:rPr>
                  <w:instrText xml:space="preserve"> PAGEREF _Toc88049362 \h </w:instrText>
                </w:r>
                <w:r>
                  <w:rPr>
                    <w:noProof/>
                    <w:webHidden/>
                  </w:rPr>
                </w:r>
                <w:r>
                  <w:rPr>
                    <w:noProof/>
                    <w:webHidden/>
                  </w:rPr>
                  <w:fldChar w:fldCharType="separate"/>
                </w:r>
                <w:r>
                  <w:rPr>
                    <w:noProof/>
                    <w:webHidden/>
                  </w:rPr>
                  <w:t>11</w:t>
                </w:r>
                <w:r>
                  <w:rPr>
                    <w:noProof/>
                    <w:webHidden/>
                  </w:rPr>
                  <w:fldChar w:fldCharType="end"/>
                </w:r>
              </w:hyperlink>
            </w:p>
            <w:p w14:paraId="1F02F8A0" w14:textId="1DD49B9C" w:rsidR="00D668FD" w:rsidRDefault="00D668FD">
              <w:pPr>
                <w:pStyle w:val="TOC3"/>
                <w:tabs>
                  <w:tab w:val="right" w:leader="dot" w:pos="9350"/>
                </w:tabs>
                <w:rPr>
                  <w:rFonts w:eastAsiaTheme="minorEastAsia"/>
                  <w:noProof/>
                  <w:lang w:eastAsia="en-CA"/>
                </w:rPr>
              </w:pPr>
              <w:hyperlink w:anchor="_Toc88049363" w:history="1">
                <w:r w:rsidRPr="001A3129">
                  <w:rPr>
                    <w:rStyle w:val="Hyperlink"/>
                    <w:noProof/>
                    <w:lang w:val="en-US"/>
                  </w:rPr>
                  <w:t>3.1.2. Object structure</w:t>
                </w:r>
                <w:r>
                  <w:rPr>
                    <w:noProof/>
                    <w:webHidden/>
                  </w:rPr>
                  <w:tab/>
                </w:r>
                <w:r>
                  <w:rPr>
                    <w:noProof/>
                    <w:webHidden/>
                  </w:rPr>
                  <w:fldChar w:fldCharType="begin"/>
                </w:r>
                <w:r>
                  <w:rPr>
                    <w:noProof/>
                    <w:webHidden/>
                  </w:rPr>
                  <w:instrText xml:space="preserve"> PAGEREF _Toc88049363 \h </w:instrText>
                </w:r>
                <w:r>
                  <w:rPr>
                    <w:noProof/>
                    <w:webHidden/>
                  </w:rPr>
                </w:r>
                <w:r>
                  <w:rPr>
                    <w:noProof/>
                    <w:webHidden/>
                  </w:rPr>
                  <w:fldChar w:fldCharType="separate"/>
                </w:r>
                <w:r>
                  <w:rPr>
                    <w:noProof/>
                    <w:webHidden/>
                  </w:rPr>
                  <w:t>12</w:t>
                </w:r>
                <w:r>
                  <w:rPr>
                    <w:noProof/>
                    <w:webHidden/>
                  </w:rPr>
                  <w:fldChar w:fldCharType="end"/>
                </w:r>
              </w:hyperlink>
            </w:p>
            <w:p w14:paraId="5008CC45" w14:textId="6D3F390E" w:rsidR="00D668FD" w:rsidRDefault="00D668FD">
              <w:pPr>
                <w:pStyle w:val="TOC3"/>
                <w:tabs>
                  <w:tab w:val="right" w:leader="dot" w:pos="9350"/>
                </w:tabs>
                <w:rPr>
                  <w:rFonts w:eastAsiaTheme="minorEastAsia"/>
                  <w:noProof/>
                  <w:lang w:eastAsia="en-CA"/>
                </w:rPr>
              </w:pPr>
              <w:hyperlink w:anchor="_Toc88049364" w:history="1">
                <w:r w:rsidRPr="001A3129">
                  <w:rPr>
                    <w:rStyle w:val="Hyperlink"/>
                    <w:noProof/>
                    <w:lang w:val="en-US"/>
                  </w:rPr>
                  <w:t>3.1.3. Data handling</w:t>
                </w:r>
                <w:r>
                  <w:rPr>
                    <w:noProof/>
                    <w:webHidden/>
                  </w:rPr>
                  <w:tab/>
                </w:r>
                <w:r>
                  <w:rPr>
                    <w:noProof/>
                    <w:webHidden/>
                  </w:rPr>
                  <w:fldChar w:fldCharType="begin"/>
                </w:r>
                <w:r>
                  <w:rPr>
                    <w:noProof/>
                    <w:webHidden/>
                  </w:rPr>
                  <w:instrText xml:space="preserve"> PAGEREF _Toc88049364 \h </w:instrText>
                </w:r>
                <w:r>
                  <w:rPr>
                    <w:noProof/>
                    <w:webHidden/>
                  </w:rPr>
                </w:r>
                <w:r>
                  <w:rPr>
                    <w:noProof/>
                    <w:webHidden/>
                  </w:rPr>
                  <w:fldChar w:fldCharType="separate"/>
                </w:r>
                <w:r>
                  <w:rPr>
                    <w:noProof/>
                    <w:webHidden/>
                  </w:rPr>
                  <w:t>12</w:t>
                </w:r>
                <w:r>
                  <w:rPr>
                    <w:noProof/>
                    <w:webHidden/>
                  </w:rPr>
                  <w:fldChar w:fldCharType="end"/>
                </w:r>
              </w:hyperlink>
            </w:p>
            <w:p w14:paraId="7C914B1B" w14:textId="23BE9A9E" w:rsidR="00D668FD" w:rsidRDefault="00D668FD">
              <w:pPr>
                <w:pStyle w:val="TOC3"/>
                <w:tabs>
                  <w:tab w:val="right" w:leader="dot" w:pos="9350"/>
                </w:tabs>
                <w:rPr>
                  <w:rFonts w:eastAsiaTheme="minorEastAsia"/>
                  <w:noProof/>
                  <w:lang w:eastAsia="en-CA"/>
                </w:rPr>
              </w:pPr>
              <w:hyperlink w:anchor="_Toc88049365" w:history="1">
                <w:r w:rsidRPr="001A3129">
                  <w:rPr>
                    <w:rStyle w:val="Hyperlink"/>
                    <w:noProof/>
                    <w:lang w:val="en-US"/>
                  </w:rPr>
                  <w:t>3.1.4. Analysis</w:t>
                </w:r>
                <w:r>
                  <w:rPr>
                    <w:noProof/>
                    <w:webHidden/>
                  </w:rPr>
                  <w:tab/>
                </w:r>
                <w:r>
                  <w:rPr>
                    <w:noProof/>
                    <w:webHidden/>
                  </w:rPr>
                  <w:fldChar w:fldCharType="begin"/>
                </w:r>
                <w:r>
                  <w:rPr>
                    <w:noProof/>
                    <w:webHidden/>
                  </w:rPr>
                  <w:instrText xml:space="preserve"> PAGEREF _Toc88049365 \h </w:instrText>
                </w:r>
                <w:r>
                  <w:rPr>
                    <w:noProof/>
                    <w:webHidden/>
                  </w:rPr>
                </w:r>
                <w:r>
                  <w:rPr>
                    <w:noProof/>
                    <w:webHidden/>
                  </w:rPr>
                  <w:fldChar w:fldCharType="separate"/>
                </w:r>
                <w:r>
                  <w:rPr>
                    <w:noProof/>
                    <w:webHidden/>
                  </w:rPr>
                  <w:t>13</w:t>
                </w:r>
                <w:r>
                  <w:rPr>
                    <w:noProof/>
                    <w:webHidden/>
                  </w:rPr>
                  <w:fldChar w:fldCharType="end"/>
                </w:r>
              </w:hyperlink>
            </w:p>
            <w:p w14:paraId="6CFB350E" w14:textId="0E3F6296" w:rsidR="00D668FD" w:rsidRDefault="00D668FD">
              <w:pPr>
                <w:pStyle w:val="TOC3"/>
                <w:tabs>
                  <w:tab w:val="right" w:leader="dot" w:pos="9350"/>
                </w:tabs>
                <w:rPr>
                  <w:rFonts w:eastAsiaTheme="minorEastAsia"/>
                  <w:noProof/>
                  <w:lang w:eastAsia="en-CA"/>
                </w:rPr>
              </w:pPr>
              <w:hyperlink w:anchor="_Toc88049366" w:history="1">
                <w:r w:rsidRPr="001A3129">
                  <w:rPr>
                    <w:rStyle w:val="Hyperlink"/>
                    <w:noProof/>
                    <w:lang w:val="en-US"/>
                  </w:rPr>
                  <w:t>3.1.5. Benchmarking</w:t>
                </w:r>
                <w:r>
                  <w:rPr>
                    <w:noProof/>
                    <w:webHidden/>
                  </w:rPr>
                  <w:tab/>
                </w:r>
                <w:r>
                  <w:rPr>
                    <w:noProof/>
                    <w:webHidden/>
                  </w:rPr>
                  <w:fldChar w:fldCharType="begin"/>
                </w:r>
                <w:r>
                  <w:rPr>
                    <w:noProof/>
                    <w:webHidden/>
                  </w:rPr>
                  <w:instrText xml:space="preserve"> PAGEREF _Toc88049366 \h </w:instrText>
                </w:r>
                <w:r>
                  <w:rPr>
                    <w:noProof/>
                    <w:webHidden/>
                  </w:rPr>
                </w:r>
                <w:r>
                  <w:rPr>
                    <w:noProof/>
                    <w:webHidden/>
                  </w:rPr>
                  <w:fldChar w:fldCharType="separate"/>
                </w:r>
                <w:r>
                  <w:rPr>
                    <w:noProof/>
                    <w:webHidden/>
                  </w:rPr>
                  <w:t>17</w:t>
                </w:r>
                <w:r>
                  <w:rPr>
                    <w:noProof/>
                    <w:webHidden/>
                  </w:rPr>
                  <w:fldChar w:fldCharType="end"/>
                </w:r>
              </w:hyperlink>
            </w:p>
            <w:p w14:paraId="7C2F49CD" w14:textId="0FEDCAD3" w:rsidR="00D668FD" w:rsidRDefault="00D668FD">
              <w:pPr>
                <w:pStyle w:val="TOC2"/>
                <w:tabs>
                  <w:tab w:val="right" w:leader="dot" w:pos="9350"/>
                </w:tabs>
                <w:rPr>
                  <w:rFonts w:eastAsiaTheme="minorEastAsia"/>
                  <w:noProof/>
                  <w:lang w:eastAsia="en-CA"/>
                </w:rPr>
              </w:pPr>
              <w:hyperlink w:anchor="_Toc88049367" w:history="1">
                <w:r w:rsidRPr="001A3129">
                  <w:rPr>
                    <w:rStyle w:val="Hyperlink"/>
                    <w:noProof/>
                    <w:lang w:val="en-US"/>
                  </w:rPr>
                  <w:t>3.2. Data collection</w:t>
                </w:r>
                <w:r>
                  <w:rPr>
                    <w:noProof/>
                    <w:webHidden/>
                  </w:rPr>
                  <w:tab/>
                </w:r>
                <w:r>
                  <w:rPr>
                    <w:noProof/>
                    <w:webHidden/>
                  </w:rPr>
                  <w:fldChar w:fldCharType="begin"/>
                </w:r>
                <w:r>
                  <w:rPr>
                    <w:noProof/>
                    <w:webHidden/>
                  </w:rPr>
                  <w:instrText xml:space="preserve"> PAGEREF _Toc88049367 \h </w:instrText>
                </w:r>
                <w:r>
                  <w:rPr>
                    <w:noProof/>
                    <w:webHidden/>
                  </w:rPr>
                </w:r>
                <w:r>
                  <w:rPr>
                    <w:noProof/>
                    <w:webHidden/>
                  </w:rPr>
                  <w:fldChar w:fldCharType="separate"/>
                </w:r>
                <w:r>
                  <w:rPr>
                    <w:noProof/>
                    <w:webHidden/>
                  </w:rPr>
                  <w:t>17</w:t>
                </w:r>
                <w:r>
                  <w:rPr>
                    <w:noProof/>
                    <w:webHidden/>
                  </w:rPr>
                  <w:fldChar w:fldCharType="end"/>
                </w:r>
              </w:hyperlink>
            </w:p>
            <w:p w14:paraId="3D2F3715" w14:textId="0F972344" w:rsidR="00D668FD" w:rsidRDefault="00D668FD">
              <w:pPr>
                <w:pStyle w:val="TOC3"/>
                <w:tabs>
                  <w:tab w:val="right" w:leader="dot" w:pos="9350"/>
                </w:tabs>
                <w:rPr>
                  <w:rFonts w:eastAsiaTheme="minorEastAsia"/>
                  <w:noProof/>
                  <w:lang w:eastAsia="en-CA"/>
                </w:rPr>
              </w:pPr>
              <w:hyperlink w:anchor="_Toc88049368" w:history="1">
                <w:r w:rsidRPr="001A3129">
                  <w:rPr>
                    <w:rStyle w:val="Hyperlink"/>
                    <w:noProof/>
                    <w:lang w:val="en-US"/>
                  </w:rPr>
                  <w:t>3.2.1. Raw data</w:t>
                </w:r>
                <w:r>
                  <w:rPr>
                    <w:noProof/>
                    <w:webHidden/>
                  </w:rPr>
                  <w:tab/>
                </w:r>
                <w:r>
                  <w:rPr>
                    <w:noProof/>
                    <w:webHidden/>
                  </w:rPr>
                  <w:fldChar w:fldCharType="begin"/>
                </w:r>
                <w:r>
                  <w:rPr>
                    <w:noProof/>
                    <w:webHidden/>
                  </w:rPr>
                  <w:instrText xml:space="preserve"> PAGEREF _Toc88049368 \h </w:instrText>
                </w:r>
                <w:r>
                  <w:rPr>
                    <w:noProof/>
                    <w:webHidden/>
                  </w:rPr>
                </w:r>
                <w:r>
                  <w:rPr>
                    <w:noProof/>
                    <w:webHidden/>
                  </w:rPr>
                  <w:fldChar w:fldCharType="separate"/>
                </w:r>
                <w:r>
                  <w:rPr>
                    <w:noProof/>
                    <w:webHidden/>
                  </w:rPr>
                  <w:t>17</w:t>
                </w:r>
                <w:r>
                  <w:rPr>
                    <w:noProof/>
                    <w:webHidden/>
                  </w:rPr>
                  <w:fldChar w:fldCharType="end"/>
                </w:r>
              </w:hyperlink>
            </w:p>
            <w:p w14:paraId="5760F2F9" w14:textId="50594455" w:rsidR="00D668FD" w:rsidRDefault="00D668FD">
              <w:pPr>
                <w:pStyle w:val="TOC3"/>
                <w:tabs>
                  <w:tab w:val="right" w:leader="dot" w:pos="9350"/>
                </w:tabs>
                <w:rPr>
                  <w:rFonts w:eastAsiaTheme="minorEastAsia"/>
                  <w:noProof/>
                  <w:lang w:eastAsia="en-CA"/>
                </w:rPr>
              </w:pPr>
              <w:hyperlink w:anchor="_Toc88049369" w:history="1">
                <w:r w:rsidRPr="001A3129">
                  <w:rPr>
                    <w:rStyle w:val="Hyperlink"/>
                    <w:noProof/>
                    <w:lang w:val="en-US"/>
                  </w:rPr>
                  <w:t>3.2.2. Cell deconvolution</w:t>
                </w:r>
                <w:r>
                  <w:rPr>
                    <w:noProof/>
                    <w:webHidden/>
                  </w:rPr>
                  <w:tab/>
                </w:r>
                <w:r>
                  <w:rPr>
                    <w:noProof/>
                    <w:webHidden/>
                  </w:rPr>
                  <w:fldChar w:fldCharType="begin"/>
                </w:r>
                <w:r>
                  <w:rPr>
                    <w:noProof/>
                    <w:webHidden/>
                  </w:rPr>
                  <w:instrText xml:space="preserve"> PAGEREF _Toc88049369 \h </w:instrText>
                </w:r>
                <w:r>
                  <w:rPr>
                    <w:noProof/>
                    <w:webHidden/>
                  </w:rPr>
                </w:r>
                <w:r>
                  <w:rPr>
                    <w:noProof/>
                    <w:webHidden/>
                  </w:rPr>
                  <w:fldChar w:fldCharType="separate"/>
                </w:r>
                <w:r>
                  <w:rPr>
                    <w:noProof/>
                    <w:webHidden/>
                  </w:rPr>
                  <w:t>17</w:t>
                </w:r>
                <w:r>
                  <w:rPr>
                    <w:noProof/>
                    <w:webHidden/>
                  </w:rPr>
                  <w:fldChar w:fldCharType="end"/>
                </w:r>
              </w:hyperlink>
            </w:p>
            <w:p w14:paraId="3D562C33" w14:textId="27BE209F" w:rsidR="00D668FD" w:rsidRDefault="00D668FD">
              <w:pPr>
                <w:pStyle w:val="TOC1"/>
                <w:tabs>
                  <w:tab w:val="right" w:leader="dot" w:pos="9350"/>
                </w:tabs>
                <w:rPr>
                  <w:rFonts w:eastAsiaTheme="minorEastAsia"/>
                  <w:b w:val="0"/>
                  <w:noProof/>
                  <w:lang w:eastAsia="en-CA"/>
                </w:rPr>
              </w:pPr>
              <w:hyperlink w:anchor="_Toc88049370" w:history="1">
                <w:r w:rsidRPr="001A3129">
                  <w:rPr>
                    <w:rStyle w:val="Hyperlink"/>
                    <w:noProof/>
                    <w:lang w:val="en-US"/>
                  </w:rPr>
                  <w:t>4. Results</w:t>
                </w:r>
                <w:r>
                  <w:rPr>
                    <w:noProof/>
                    <w:webHidden/>
                  </w:rPr>
                  <w:tab/>
                </w:r>
                <w:r>
                  <w:rPr>
                    <w:noProof/>
                    <w:webHidden/>
                  </w:rPr>
                  <w:fldChar w:fldCharType="begin"/>
                </w:r>
                <w:r>
                  <w:rPr>
                    <w:noProof/>
                    <w:webHidden/>
                  </w:rPr>
                  <w:instrText xml:space="preserve"> PAGEREF _Toc88049370 \h </w:instrText>
                </w:r>
                <w:r>
                  <w:rPr>
                    <w:noProof/>
                    <w:webHidden/>
                  </w:rPr>
                </w:r>
                <w:r>
                  <w:rPr>
                    <w:noProof/>
                    <w:webHidden/>
                  </w:rPr>
                  <w:fldChar w:fldCharType="separate"/>
                </w:r>
                <w:r>
                  <w:rPr>
                    <w:noProof/>
                    <w:webHidden/>
                  </w:rPr>
                  <w:t>18</w:t>
                </w:r>
                <w:r>
                  <w:rPr>
                    <w:noProof/>
                    <w:webHidden/>
                  </w:rPr>
                  <w:fldChar w:fldCharType="end"/>
                </w:r>
              </w:hyperlink>
            </w:p>
            <w:p w14:paraId="2DEA7007" w14:textId="307F89C1" w:rsidR="00D668FD" w:rsidRDefault="00D668FD">
              <w:pPr>
                <w:pStyle w:val="TOC2"/>
                <w:tabs>
                  <w:tab w:val="right" w:leader="dot" w:pos="9350"/>
                </w:tabs>
                <w:rPr>
                  <w:rFonts w:eastAsiaTheme="minorEastAsia"/>
                  <w:noProof/>
                  <w:lang w:eastAsia="en-CA"/>
                </w:rPr>
              </w:pPr>
              <w:hyperlink w:anchor="_Toc88049371" w:history="1">
                <w:r w:rsidRPr="001A3129">
                  <w:rPr>
                    <w:rStyle w:val="Hyperlink"/>
                    <w:noProof/>
                    <w:lang w:val="en-US"/>
                  </w:rPr>
                  <w:t>4.1. Reference methylomes</w:t>
                </w:r>
                <w:r>
                  <w:rPr>
                    <w:noProof/>
                    <w:webHidden/>
                  </w:rPr>
                  <w:tab/>
                </w:r>
                <w:r>
                  <w:rPr>
                    <w:noProof/>
                    <w:webHidden/>
                  </w:rPr>
                  <w:fldChar w:fldCharType="begin"/>
                </w:r>
                <w:r>
                  <w:rPr>
                    <w:noProof/>
                    <w:webHidden/>
                  </w:rPr>
                  <w:instrText xml:space="preserve"> PAGEREF _Toc88049371 \h </w:instrText>
                </w:r>
                <w:r>
                  <w:rPr>
                    <w:noProof/>
                    <w:webHidden/>
                  </w:rPr>
                </w:r>
                <w:r>
                  <w:rPr>
                    <w:noProof/>
                    <w:webHidden/>
                  </w:rPr>
                  <w:fldChar w:fldCharType="separate"/>
                </w:r>
                <w:r>
                  <w:rPr>
                    <w:noProof/>
                    <w:webHidden/>
                  </w:rPr>
                  <w:t>18</w:t>
                </w:r>
                <w:r>
                  <w:rPr>
                    <w:noProof/>
                    <w:webHidden/>
                  </w:rPr>
                  <w:fldChar w:fldCharType="end"/>
                </w:r>
              </w:hyperlink>
            </w:p>
            <w:p w14:paraId="15D88BAC" w14:textId="77814C73" w:rsidR="00D668FD" w:rsidRDefault="00D668FD">
              <w:pPr>
                <w:pStyle w:val="TOC3"/>
                <w:tabs>
                  <w:tab w:val="right" w:leader="dot" w:pos="9350"/>
                </w:tabs>
                <w:rPr>
                  <w:rFonts w:eastAsiaTheme="minorEastAsia"/>
                  <w:noProof/>
                  <w:lang w:eastAsia="en-CA"/>
                </w:rPr>
              </w:pPr>
              <w:hyperlink w:anchor="_Toc88049372" w:history="1">
                <w:r w:rsidRPr="001A3129">
                  <w:rPr>
                    <w:rStyle w:val="Hyperlink"/>
                    <w:noProof/>
                    <w:lang w:val="en-US"/>
                  </w:rPr>
                  <w:t>4.1.1. Array-based</w:t>
                </w:r>
                <w:r>
                  <w:rPr>
                    <w:noProof/>
                    <w:webHidden/>
                  </w:rPr>
                  <w:tab/>
                </w:r>
                <w:r>
                  <w:rPr>
                    <w:noProof/>
                    <w:webHidden/>
                  </w:rPr>
                  <w:fldChar w:fldCharType="begin"/>
                </w:r>
                <w:r>
                  <w:rPr>
                    <w:noProof/>
                    <w:webHidden/>
                  </w:rPr>
                  <w:instrText xml:space="preserve"> PAGEREF _Toc88049372 \h </w:instrText>
                </w:r>
                <w:r>
                  <w:rPr>
                    <w:noProof/>
                    <w:webHidden/>
                  </w:rPr>
                </w:r>
                <w:r>
                  <w:rPr>
                    <w:noProof/>
                    <w:webHidden/>
                  </w:rPr>
                  <w:fldChar w:fldCharType="separate"/>
                </w:r>
                <w:r>
                  <w:rPr>
                    <w:noProof/>
                    <w:webHidden/>
                  </w:rPr>
                  <w:t>18</w:t>
                </w:r>
                <w:r>
                  <w:rPr>
                    <w:noProof/>
                    <w:webHidden/>
                  </w:rPr>
                  <w:fldChar w:fldCharType="end"/>
                </w:r>
              </w:hyperlink>
            </w:p>
            <w:p w14:paraId="2F72F1C5" w14:textId="3910CD9B" w:rsidR="00D668FD" w:rsidRDefault="00D668FD">
              <w:pPr>
                <w:pStyle w:val="TOC1"/>
                <w:tabs>
                  <w:tab w:val="right" w:leader="dot" w:pos="9350"/>
                </w:tabs>
                <w:rPr>
                  <w:rFonts w:eastAsiaTheme="minorEastAsia"/>
                  <w:b w:val="0"/>
                  <w:noProof/>
                  <w:lang w:eastAsia="en-CA"/>
                </w:rPr>
              </w:pPr>
              <w:hyperlink w:anchor="_Toc88049373" w:history="1">
                <w:r w:rsidRPr="001A3129">
                  <w:rPr>
                    <w:rStyle w:val="Hyperlink"/>
                    <w:noProof/>
                    <w:lang w:val="en-US"/>
                  </w:rPr>
                  <w:t>5. Discussion</w:t>
                </w:r>
                <w:r>
                  <w:rPr>
                    <w:noProof/>
                    <w:webHidden/>
                  </w:rPr>
                  <w:tab/>
                </w:r>
                <w:r>
                  <w:rPr>
                    <w:noProof/>
                    <w:webHidden/>
                  </w:rPr>
                  <w:fldChar w:fldCharType="begin"/>
                </w:r>
                <w:r>
                  <w:rPr>
                    <w:noProof/>
                    <w:webHidden/>
                  </w:rPr>
                  <w:instrText xml:space="preserve"> PAGEREF _Toc88049373 \h </w:instrText>
                </w:r>
                <w:r>
                  <w:rPr>
                    <w:noProof/>
                    <w:webHidden/>
                  </w:rPr>
                </w:r>
                <w:r>
                  <w:rPr>
                    <w:noProof/>
                    <w:webHidden/>
                  </w:rPr>
                  <w:fldChar w:fldCharType="separate"/>
                </w:r>
                <w:r>
                  <w:rPr>
                    <w:noProof/>
                    <w:webHidden/>
                  </w:rPr>
                  <w:t>18</w:t>
                </w:r>
                <w:r>
                  <w:rPr>
                    <w:noProof/>
                    <w:webHidden/>
                  </w:rPr>
                  <w:fldChar w:fldCharType="end"/>
                </w:r>
              </w:hyperlink>
            </w:p>
            <w:p w14:paraId="67B1D374" w14:textId="53B80912" w:rsidR="00D668FD" w:rsidRDefault="00D668FD">
              <w:pPr>
                <w:pStyle w:val="TOC1"/>
                <w:tabs>
                  <w:tab w:val="right" w:leader="dot" w:pos="9350"/>
                </w:tabs>
                <w:rPr>
                  <w:rFonts w:eastAsiaTheme="minorEastAsia"/>
                  <w:b w:val="0"/>
                  <w:noProof/>
                  <w:lang w:eastAsia="en-CA"/>
                </w:rPr>
              </w:pPr>
              <w:hyperlink w:anchor="_Toc88049374" w:history="1">
                <w:r w:rsidRPr="001A3129">
                  <w:rPr>
                    <w:rStyle w:val="Hyperlink"/>
                    <w:noProof/>
                    <w:lang w:val="en-US"/>
                  </w:rPr>
                  <w:t>6. Future Outlook</w:t>
                </w:r>
                <w:r>
                  <w:rPr>
                    <w:noProof/>
                    <w:webHidden/>
                  </w:rPr>
                  <w:tab/>
                </w:r>
                <w:r>
                  <w:rPr>
                    <w:noProof/>
                    <w:webHidden/>
                  </w:rPr>
                  <w:fldChar w:fldCharType="begin"/>
                </w:r>
                <w:r>
                  <w:rPr>
                    <w:noProof/>
                    <w:webHidden/>
                  </w:rPr>
                  <w:instrText xml:space="preserve"> PAGEREF _Toc88049374 \h </w:instrText>
                </w:r>
                <w:r>
                  <w:rPr>
                    <w:noProof/>
                    <w:webHidden/>
                  </w:rPr>
                </w:r>
                <w:r>
                  <w:rPr>
                    <w:noProof/>
                    <w:webHidden/>
                  </w:rPr>
                  <w:fldChar w:fldCharType="separate"/>
                </w:r>
                <w:r>
                  <w:rPr>
                    <w:noProof/>
                    <w:webHidden/>
                  </w:rPr>
                  <w:t>18</w:t>
                </w:r>
                <w:r>
                  <w:rPr>
                    <w:noProof/>
                    <w:webHidden/>
                  </w:rPr>
                  <w:fldChar w:fldCharType="end"/>
                </w:r>
              </w:hyperlink>
            </w:p>
            <w:p w14:paraId="2C09EE85" w14:textId="6A6C2AB4" w:rsidR="00D668FD" w:rsidRDefault="00D668FD">
              <w:pPr>
                <w:pStyle w:val="TOC1"/>
                <w:tabs>
                  <w:tab w:val="right" w:leader="dot" w:pos="9350"/>
                </w:tabs>
                <w:rPr>
                  <w:rFonts w:eastAsiaTheme="minorEastAsia"/>
                  <w:b w:val="0"/>
                  <w:noProof/>
                  <w:lang w:eastAsia="en-CA"/>
                </w:rPr>
              </w:pPr>
              <w:hyperlink w:anchor="_Toc88049375" w:history="1">
                <w:r w:rsidRPr="001A3129">
                  <w:rPr>
                    <w:rStyle w:val="Hyperlink"/>
                    <w:noProof/>
                    <w:lang w:val="en-US"/>
                  </w:rPr>
                  <w:t>7. Conclusion</w:t>
                </w:r>
                <w:r>
                  <w:rPr>
                    <w:noProof/>
                    <w:webHidden/>
                  </w:rPr>
                  <w:tab/>
                </w:r>
                <w:r>
                  <w:rPr>
                    <w:noProof/>
                    <w:webHidden/>
                  </w:rPr>
                  <w:fldChar w:fldCharType="begin"/>
                </w:r>
                <w:r>
                  <w:rPr>
                    <w:noProof/>
                    <w:webHidden/>
                  </w:rPr>
                  <w:instrText xml:space="preserve"> PAGEREF _Toc88049375 \h </w:instrText>
                </w:r>
                <w:r>
                  <w:rPr>
                    <w:noProof/>
                    <w:webHidden/>
                  </w:rPr>
                </w:r>
                <w:r>
                  <w:rPr>
                    <w:noProof/>
                    <w:webHidden/>
                  </w:rPr>
                  <w:fldChar w:fldCharType="separate"/>
                </w:r>
                <w:r>
                  <w:rPr>
                    <w:noProof/>
                    <w:webHidden/>
                  </w:rPr>
                  <w:t>18</w:t>
                </w:r>
                <w:r>
                  <w:rPr>
                    <w:noProof/>
                    <w:webHidden/>
                  </w:rPr>
                  <w:fldChar w:fldCharType="end"/>
                </w:r>
              </w:hyperlink>
            </w:p>
            <w:p w14:paraId="141034F1" w14:textId="0A1931A5" w:rsidR="00D668FD" w:rsidRDefault="00D668FD">
              <w:pPr>
                <w:pStyle w:val="TOC1"/>
                <w:tabs>
                  <w:tab w:val="right" w:leader="dot" w:pos="9350"/>
                </w:tabs>
                <w:rPr>
                  <w:rFonts w:eastAsiaTheme="minorEastAsia"/>
                  <w:b w:val="0"/>
                  <w:noProof/>
                  <w:lang w:eastAsia="en-CA"/>
                </w:rPr>
              </w:pPr>
              <w:hyperlink w:anchor="_Toc88049376" w:history="1">
                <w:r w:rsidRPr="001A3129">
                  <w:rPr>
                    <w:rStyle w:val="Hyperlink"/>
                    <w:noProof/>
                    <w:lang w:val="en-US"/>
                  </w:rPr>
                  <w:t>8. Data Availability</w:t>
                </w:r>
                <w:r>
                  <w:rPr>
                    <w:noProof/>
                    <w:webHidden/>
                  </w:rPr>
                  <w:tab/>
                </w:r>
                <w:r>
                  <w:rPr>
                    <w:noProof/>
                    <w:webHidden/>
                  </w:rPr>
                  <w:fldChar w:fldCharType="begin"/>
                </w:r>
                <w:r>
                  <w:rPr>
                    <w:noProof/>
                    <w:webHidden/>
                  </w:rPr>
                  <w:instrText xml:space="preserve"> PAGEREF _Toc88049376 \h </w:instrText>
                </w:r>
                <w:r>
                  <w:rPr>
                    <w:noProof/>
                    <w:webHidden/>
                  </w:rPr>
                </w:r>
                <w:r>
                  <w:rPr>
                    <w:noProof/>
                    <w:webHidden/>
                  </w:rPr>
                  <w:fldChar w:fldCharType="separate"/>
                </w:r>
                <w:r>
                  <w:rPr>
                    <w:noProof/>
                    <w:webHidden/>
                  </w:rPr>
                  <w:t>18</w:t>
                </w:r>
                <w:r>
                  <w:rPr>
                    <w:noProof/>
                    <w:webHidden/>
                  </w:rPr>
                  <w:fldChar w:fldCharType="end"/>
                </w:r>
              </w:hyperlink>
            </w:p>
            <w:p w14:paraId="4CCBC61C" w14:textId="21BD0098" w:rsidR="00D668FD" w:rsidRDefault="00D668FD">
              <w:pPr>
                <w:pStyle w:val="TOC1"/>
                <w:tabs>
                  <w:tab w:val="right" w:leader="dot" w:pos="9350"/>
                </w:tabs>
                <w:rPr>
                  <w:rFonts w:eastAsiaTheme="minorEastAsia"/>
                  <w:b w:val="0"/>
                  <w:noProof/>
                  <w:lang w:eastAsia="en-CA"/>
                </w:rPr>
              </w:pPr>
              <w:hyperlink w:anchor="_Toc88049377" w:history="1">
                <w:r w:rsidRPr="001A3129">
                  <w:rPr>
                    <w:rStyle w:val="Hyperlink"/>
                    <w:noProof/>
                    <w:lang w:val="en-US"/>
                  </w:rPr>
                  <w:t>9. Supplementary Data</w:t>
                </w:r>
                <w:r>
                  <w:rPr>
                    <w:noProof/>
                    <w:webHidden/>
                  </w:rPr>
                  <w:tab/>
                </w:r>
                <w:r>
                  <w:rPr>
                    <w:noProof/>
                    <w:webHidden/>
                  </w:rPr>
                  <w:fldChar w:fldCharType="begin"/>
                </w:r>
                <w:r>
                  <w:rPr>
                    <w:noProof/>
                    <w:webHidden/>
                  </w:rPr>
                  <w:instrText xml:space="preserve"> PAGEREF _Toc88049377 \h </w:instrText>
                </w:r>
                <w:r>
                  <w:rPr>
                    <w:noProof/>
                    <w:webHidden/>
                  </w:rPr>
                </w:r>
                <w:r>
                  <w:rPr>
                    <w:noProof/>
                    <w:webHidden/>
                  </w:rPr>
                  <w:fldChar w:fldCharType="separate"/>
                </w:r>
                <w:r>
                  <w:rPr>
                    <w:noProof/>
                    <w:webHidden/>
                  </w:rPr>
                  <w:t>18</w:t>
                </w:r>
                <w:r>
                  <w:rPr>
                    <w:noProof/>
                    <w:webHidden/>
                  </w:rPr>
                  <w:fldChar w:fldCharType="end"/>
                </w:r>
              </w:hyperlink>
            </w:p>
            <w:p w14:paraId="407C01BB" w14:textId="249DC8A4" w:rsidR="00D668FD" w:rsidRDefault="00D668FD">
              <w:pPr>
                <w:pStyle w:val="TOC1"/>
                <w:tabs>
                  <w:tab w:val="right" w:leader="dot" w:pos="9350"/>
                </w:tabs>
                <w:rPr>
                  <w:rFonts w:eastAsiaTheme="minorEastAsia"/>
                  <w:b w:val="0"/>
                  <w:noProof/>
                  <w:lang w:eastAsia="en-CA"/>
                </w:rPr>
              </w:pPr>
              <w:hyperlink w:anchor="_Toc88049378" w:history="1">
                <w:r w:rsidRPr="001A3129">
                  <w:rPr>
                    <w:rStyle w:val="Hyperlink"/>
                    <w:noProof/>
                    <w:lang w:val="en-US"/>
                  </w:rPr>
                  <w:t>10. References</w:t>
                </w:r>
                <w:r>
                  <w:rPr>
                    <w:noProof/>
                    <w:webHidden/>
                  </w:rPr>
                  <w:tab/>
                </w:r>
                <w:r>
                  <w:rPr>
                    <w:noProof/>
                    <w:webHidden/>
                  </w:rPr>
                  <w:fldChar w:fldCharType="begin"/>
                </w:r>
                <w:r>
                  <w:rPr>
                    <w:noProof/>
                    <w:webHidden/>
                  </w:rPr>
                  <w:instrText xml:space="preserve"> PAGEREF _Toc88049378 \h </w:instrText>
                </w:r>
                <w:r>
                  <w:rPr>
                    <w:noProof/>
                    <w:webHidden/>
                  </w:rPr>
                </w:r>
                <w:r>
                  <w:rPr>
                    <w:noProof/>
                    <w:webHidden/>
                  </w:rPr>
                  <w:fldChar w:fldCharType="separate"/>
                </w:r>
                <w:r>
                  <w:rPr>
                    <w:noProof/>
                    <w:webHidden/>
                  </w:rPr>
                  <w:t>19</w:t>
                </w:r>
                <w:r>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6024F1">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6024F1">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6024F1">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lastRenderedPageBreak/>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6024F1"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2AB637B"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4B2F0E">
        <w:rPr>
          <w:lang w:val="en-US"/>
        </w:rPr>
        <w:instrText xml:space="preserve"> ADDIN ZOTERO_ITEM CSL_CITATION {"citationID":"Da9Y76q7","properties":{"formattedCitation":"\\super 6\\nosupersub{}","plainCitation":"6","noteIndex":0},"citationItems":[{"id":1167,"uris":["http://zotero.org/users/local/oxMpWYo5/items/Z9SI6SZ4"],"uri":["http://zotero.org/users/local/oxMpWYo5/items/Z9SI6SZ4"],"itemData":{"id":1167,"type":"article-journal","abstract":"Methylation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Schmidt","given":"M."}],"issued":{"date-parts":[["2007",2,23]]}}}],"schema":"https://github.com/citation-style-language/schema/raw/master/csl-citation.json"} </w:instrText>
      </w:r>
      <w:r w:rsidR="004B2F0E">
        <w:rPr>
          <w:lang w:val="en-US"/>
        </w:rPr>
        <w:fldChar w:fldCharType="separate"/>
      </w:r>
      <w:r w:rsidR="004B2F0E" w:rsidRPr="004B2F0E">
        <w:rPr>
          <w:rFonts w:ascii="Calibri" w:hAnsi="Calibri" w:cs="Calibri"/>
          <w:szCs w:val="24"/>
          <w:vertAlign w:val="superscript"/>
        </w:rPr>
        <w:t>6</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4B2F0E">
        <w:rPr>
          <w:lang w:val="en-US"/>
        </w:rPr>
        <w:instrText xml:space="preserve"> ADDIN ZOTERO_ITEM CSL_CITATION {"citationID":"KiW9V4dH","properties":{"formattedCitation":"\\super 7,8\\nosupersub{}","plainCitation":"7,8","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4B2F0E" w:rsidRPr="004B2F0E">
        <w:rPr>
          <w:rFonts w:ascii="Calibri" w:hAnsi="Calibri" w:cs="Calibri"/>
          <w:szCs w:val="24"/>
          <w:vertAlign w:val="superscript"/>
        </w:rPr>
        <w:t>7,8</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4B2F0E">
        <w:rPr>
          <w:lang w:val="en-US"/>
        </w:rPr>
        <w:instrText xml:space="preserve"> ADDIN ZOTERO_ITEM CSL_CITATION {"citationID":"IGlmj10Z","properties":{"formattedCitation":"\\super 9\\nosupersub{}","plainCitation":"9","noteIndex":0},"citationItems":[{"id":273,"uris":["http://zotero.org/users/local/oxMpWYo5/items/F9VRCEFJ"],"uri":["http://zotero.org/users/local/oxMpWYo5/items/F9VRCEFJ"],"itemData":{"id":273,"type":"article-journal","abstract":"An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4B2F0E" w:rsidRPr="004B2F0E">
        <w:rPr>
          <w:rFonts w:ascii="Calibri" w:hAnsi="Calibri" w:cs="Calibri"/>
          <w:szCs w:val="24"/>
          <w:vertAlign w:val="superscript"/>
        </w:rPr>
        <w:t>9</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4B2F0E">
        <w:rPr>
          <w:lang w:val="en-US"/>
        </w:rPr>
        <w:instrText xml:space="preserve"> ADDIN ZOTERO_ITEM CSL_CITATION {"citationID":"Yi01zhxS","properties":{"formattedCitation":"\\super 10\\nosupersub{}","plainCitation":"10","noteIndex":0},"citationItems":[{"id":257,"uris":["http://zotero.org/users/local/oxMpWYo5/items/YCQAJCLZ"],"uri":["http://zotero.org/users/local/oxMpWYo5/items/YCQAJCLZ"],"itemData":{"id":257,"type":"article-journal","abstract":"A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4B2F0E" w:rsidRPr="004B2F0E">
        <w:rPr>
          <w:rFonts w:ascii="Calibri" w:hAnsi="Calibri" w:cs="Calibri"/>
          <w:szCs w:val="24"/>
          <w:vertAlign w:val="superscript"/>
        </w:rPr>
        <w:t>10</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3E78F61C"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4B2F0E">
        <w:rPr>
          <w:lang w:val="en-US"/>
        </w:rPr>
        <w:instrText xml:space="preserve"> ADDIN ZOTERO_ITEM CSL_CITATION {"citationID":"pfsus03d","properties":{"formattedCitation":"\\super 11,12\\nosupersub{}","plainCitation":"11,12","noteIndex":0},"citationItems":[{"id":1131,"uris":["http://zotero.org/users/local/oxMpWYo5/items/3Z62NWF9"],"uri":["http://zotero.org/users/local/oxMpWYo5/items/3Z62NWF9"],"itemData":{"id":1131,"type":"article-journal","abstract":"DNA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4B2F0E" w:rsidRPr="004B2F0E">
        <w:rPr>
          <w:rFonts w:ascii="Calibri" w:hAnsi="Calibri" w:cs="Calibri"/>
          <w:szCs w:val="24"/>
          <w:vertAlign w:val="superscript"/>
        </w:rPr>
        <w:t>11,12</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4B2F0E">
        <w:rPr>
          <w:lang w:val="en-US"/>
        </w:rPr>
        <w:instrText xml:space="preserve"> ADDIN ZOTERO_ITEM CSL_CITATION {"citationID":"Nr1MmtMj","properties":{"formattedCitation":"\\super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4B2F0E" w:rsidRPr="004B2F0E">
        <w:rPr>
          <w:rFonts w:ascii="Calibri" w:hAnsi="Calibri" w:cs="Calibri"/>
          <w:szCs w:val="24"/>
          <w:vertAlign w:val="superscript"/>
        </w:rPr>
        <w:t>13</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R</w:t>
      </w:r>
      <w:r w:rsidR="00596294">
        <w:rPr>
          <w:lang w:val="en-US"/>
        </w:rPr>
        <w:t xml:space="preserve">ecruitment </w:t>
      </w:r>
      <w:r w:rsidR="00596294">
        <w:rPr>
          <w:lang w:val="en-US"/>
        </w:rPr>
        <w:t xml:space="preserve">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4B2F0E">
        <w:rPr>
          <w:lang w:val="en-US"/>
        </w:rPr>
        <w:instrText xml:space="preserve"> ADDIN ZOTERO_ITEM CSL_CITATION {"citationID":"LpnnFwqJ","properties":{"formattedCitation":"\\super 11\\nosupersub{}","plainCitation":"11","noteIndex":0},"citationItems":[{"id":1131,"uris":["http://zotero.org/users/local/oxMpWYo5/items/3Z62NWF9"],"uri":["http://zotero.org/users/local/oxMpWYo5/items/3Z62NWF9"],"itemData":{"id":1131,"type":"article-journal","abstract":"DNA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4B2F0E" w:rsidRPr="004B2F0E">
        <w:rPr>
          <w:rFonts w:ascii="Calibri" w:hAnsi="Calibri" w:cs="Calibri"/>
          <w:szCs w:val="24"/>
          <w:vertAlign w:val="superscript"/>
        </w:rPr>
        <w:t>11</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4B2F0E">
        <w:rPr>
          <w:lang w:val="en-US"/>
        </w:rPr>
        <w:instrText xml:space="preserve"> ADDIN ZOTERO_ITEM CSL_CITATION {"citationID":"mkqw1uZ2","properties":{"formattedCitation":"\\super 14\\nosupersub{}","plainCitation":"14","noteIndex":0},"citationItems":[{"id":1133,"uris":["http://zotero.org/users/local/oxMpWYo5/items/PAY5WQNT"],"uri":["http://zotero.org/users/local/oxMpWYo5/items/PAY5WQNT"],"itemData":{"id":1133,"type":"article-journal","abstract":"We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4B2F0E" w:rsidRPr="004B2F0E">
        <w:rPr>
          <w:rFonts w:ascii="Calibri" w:hAnsi="Calibri" w:cs="Calibri"/>
          <w:szCs w:val="24"/>
          <w:vertAlign w:val="superscript"/>
        </w:rPr>
        <w:t>14</w:t>
      </w:r>
      <w:r w:rsidR="00024012">
        <w:rPr>
          <w:lang w:val="en-US"/>
        </w:rPr>
        <w:fldChar w:fldCharType="end"/>
      </w:r>
      <w:r w:rsidR="00024012">
        <w:rPr>
          <w:lang w:val="en-US"/>
        </w:rPr>
        <w:t>,</w:t>
      </w:r>
      <w:r w:rsidR="004032FF">
        <w:rPr>
          <w:lang w:val="en-US"/>
        </w:rPr>
        <w:t xml:space="preserve"> as </w:t>
      </w:r>
      <w:r w:rsidR="004032FF">
        <w:rPr>
          <w:lang w:val="en-US"/>
        </w:rPr>
        <w:t xml:space="preserve">demethylation </w:t>
      </w:r>
      <w:r w:rsidR="004032FF">
        <w:rPr>
          <w:lang w:val="en-US"/>
        </w:rPr>
        <w:t xml:space="preserve">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4B2F0E">
        <w:rPr>
          <w:lang w:val="en-US"/>
        </w:rPr>
        <w:instrText xml:space="preserve"> ADDIN ZOTERO_ITEM CSL_CITATION {"citationID":"O9TXU2SR","properties":{"formattedCitation":"\\super 15\\nosupersub{}","plainCitation":"15","noteIndex":0},"citationItems":[{"id":1136,"uris":["http://zotero.org/users/local/oxMpWYo5/items/3IZJ83KR"],"uri":["http://zotero.org/users/local/oxMpWYo5/items/3IZJ83KR"],"itemData":{"id":1136,"type":"article-journal","abstract":"A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4B2F0E" w:rsidRPr="004B2F0E">
        <w:rPr>
          <w:rFonts w:ascii="Calibri" w:hAnsi="Calibri" w:cs="Calibri"/>
          <w:szCs w:val="24"/>
          <w:vertAlign w:val="superscript"/>
        </w:rPr>
        <w:t>15</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4B2F0E">
        <w:rPr>
          <w:lang w:val="en-US"/>
        </w:rPr>
        <w:instrText xml:space="preserve"> ADDIN ZOTERO_ITEM CSL_CITATION {"citationID":"9miykd9O","properties":{"formattedCitation":"\\super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4B2F0E" w:rsidRPr="004B2F0E">
        <w:rPr>
          <w:rFonts w:ascii="Calibri" w:hAnsi="Calibri" w:cs="Calibri"/>
          <w:szCs w:val="24"/>
          <w:vertAlign w:val="superscript"/>
        </w:rPr>
        <w:t>13</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1B564B4E" w:rsidR="0080503F" w:rsidRDefault="00A866A9" w:rsidP="00956FA4">
      <w:pPr>
        <w:rPr>
          <w:color w:val="000000"/>
          <w:shd w:val="clear" w:color="auto" w:fill="FFFFFF"/>
        </w:rPr>
      </w:pPr>
      <w:r>
        <w:rPr>
          <w:lang w:val="en-US"/>
        </w:rPr>
        <w:t>Transcriptions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4B2F0E">
        <w:rPr>
          <w:lang w:val="en-US"/>
        </w:rPr>
        <w:instrText xml:space="preserve"> ADDIN ZOTERO_ITEM CSL_CITATION {"citationID":"RzsVyBnb","properties":{"formattedCitation":"\\super 16\\nosupersub{}","plainCitation":"16","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4B2F0E" w:rsidRPr="004B2F0E">
        <w:rPr>
          <w:rFonts w:ascii="Calibri" w:hAnsi="Calibri" w:cs="Calibri"/>
          <w:szCs w:val="24"/>
          <w:vertAlign w:val="superscript"/>
        </w:rPr>
        <w:t>16</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4B2F0E">
        <w:rPr>
          <w:lang w:val="en-US"/>
        </w:rPr>
        <w:instrText xml:space="preserve"> ADDIN ZOTERO_ITEM CSL_CITATION {"citationID":"RzFRIUmF","properties":{"formattedCitation":"\\super 17\\nosupersub{}","plainCitation":"17","noteIndex":0},"citationItems":[{"id":1095,"uris":["http://zotero.org/users/local/oxMpWYo5/items/RQ3BHBPK"],"uri":["http://zotero.org/users/local/oxMpWYo5/items/RQ3BHBPK"],"itemData":{"id":1095,"type":"article-journal","abstract":"In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4B2F0E" w:rsidRPr="004B2F0E">
        <w:rPr>
          <w:rFonts w:ascii="Calibri" w:hAnsi="Calibri" w:cs="Calibri"/>
          <w:szCs w:val="24"/>
          <w:vertAlign w:val="superscript"/>
        </w:rPr>
        <w:t>17</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4B2F0E">
        <w:rPr>
          <w:lang w:val="en-US"/>
        </w:rPr>
        <w:instrText xml:space="preserve"> ADDIN ZOTERO_ITEM CSL_CITATION {"citationID":"CQfcoFqt","properties":{"formattedCitation":"\\super 18\\nosupersub{}","plainCitation":"18","noteIndex":0},"citationItems":[{"id":1098,"uris":["http://zotero.org/users/local/oxMpWYo5/items/5MUJTCMR"],"uri":["http://zotero.org/users/local/oxMpWYo5/items/5MUJTCMR"],"itemData":{"id":1098,"type":"article-journal","abstract":"The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4B2F0E" w:rsidRPr="004B2F0E">
        <w:rPr>
          <w:rFonts w:ascii="Calibri" w:hAnsi="Calibri" w:cs="Calibri"/>
          <w:szCs w:val="24"/>
          <w:vertAlign w:val="superscript"/>
        </w:rPr>
        <w:t>18</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4B2F0E">
        <w:rPr>
          <w:color w:val="000000"/>
          <w:shd w:val="clear" w:color="auto" w:fill="FFFFFF"/>
        </w:rPr>
        <w:instrText xml:space="preserve"> ADDIN ZOTERO_ITEM CSL_CITATION {"citationID":"9xIXKXpB","properties":{"formattedCitation":"\\super 19\\nosupersub{}","plainCitation":"19","noteIndex":0},"citationItems":[{"id":1103,"uris":["http://zotero.org/users/local/oxMpWYo5/items/X6RB5ENG"],"uri":["http://zotero.org/users/local/oxMpWYo5/items/X6RB5ENG"],"itemData":{"id":1103,"type":"article-journal","abstract":"Tet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4B2F0E" w:rsidRPr="004B2F0E">
        <w:rPr>
          <w:rFonts w:ascii="Calibri" w:hAnsi="Calibri" w:cs="Calibri"/>
          <w:szCs w:val="24"/>
          <w:vertAlign w:val="superscript"/>
        </w:rPr>
        <w:t>19</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w:t>
      </w:r>
      <w:r w:rsidR="002151F3">
        <w:rPr>
          <w:color w:val="000000"/>
          <w:shd w:val="clear" w:color="auto" w:fill="FFFFFF"/>
        </w:rPr>
        <w:fldChar w:fldCharType="begin"/>
      </w:r>
      <w:r w:rsidR="004B2F0E">
        <w:rPr>
          <w:color w:val="000000"/>
          <w:shd w:val="clear" w:color="auto" w:fill="FFFFFF"/>
        </w:rPr>
        <w:instrText xml:space="preserve"> ADDIN ZOTERO_ITEM CSL_CITATION {"citationID":"PocRsm6u","properties":{"formattedCitation":"\\super 20\\nosupersub{}","plainCitation":"20","noteIndex":0},"citationItems":[{"id":1100,"uris":["http://zotero.org/users/local/oxMpWYo5/items/F9M85PPX"],"uri":["http://zotero.org/users/local/oxMpWYo5/items/F9M85PPX"],"itemData":{"id":1100,"type":"article-journal","abstract":"DNA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151F3">
        <w:rPr>
          <w:color w:val="000000"/>
          <w:shd w:val="clear" w:color="auto" w:fill="FFFFFF"/>
        </w:rPr>
        <w:fldChar w:fldCharType="separate"/>
      </w:r>
      <w:r w:rsidR="004B2F0E" w:rsidRPr="004B2F0E">
        <w:rPr>
          <w:rFonts w:ascii="Calibri" w:hAnsi="Calibri" w:cs="Calibri"/>
          <w:szCs w:val="24"/>
          <w:vertAlign w:val="superscript"/>
        </w:rPr>
        <w:t>20</w:t>
      </w:r>
      <w:r w:rsidR="002151F3">
        <w:rPr>
          <w:color w:val="000000"/>
          <w:shd w:val="clear" w:color="auto" w:fill="FFFFFF"/>
        </w:rPr>
        <w:fldChar w:fldCharType="end"/>
      </w:r>
      <w:r w:rsidR="002151F3">
        <w:rPr>
          <w:color w:val="000000"/>
          <w:shd w:val="clear" w:color="auto" w:fill="FFFFFF"/>
        </w:rPr>
        <w:t xml:space="preserve">,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p>
    <w:p w14:paraId="542258F9" w14:textId="2DCEBF10"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7D4573">
        <w:rPr>
          <w:color w:val="000000"/>
          <w:shd w:val="clear" w:color="auto" w:fill="FFFFFF"/>
        </w:rPr>
        <w:t xml:space="preserve">. In the human CD45 gene, </w:t>
      </w:r>
      <w:r w:rsidR="00660243" w:rsidRPr="00660243">
        <w:rPr>
          <w:color w:val="000000"/>
          <w:shd w:val="clear" w:color="auto" w:fill="FFFFFF"/>
        </w:rPr>
        <w:t>CCCTC-binding factor</w:t>
      </w:r>
      <w:r w:rsidR="00660243" w:rsidRPr="00660243">
        <w:rPr>
          <w:color w:val="000000"/>
          <w:shd w:val="clear" w:color="auto" w:fill="FFFFFF"/>
        </w:rPr>
        <w:t xml:space="preserve">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w:t>
      </w:r>
      <w:r w:rsidR="008C3CBB" w:rsidRPr="008C3CBB">
        <w:rPr>
          <w:color w:val="000000"/>
          <w:shd w:val="clear" w:color="auto" w:fill="FFFFFF"/>
        </w:rPr>
        <w:t>inclusion</w:t>
      </w:r>
      <w:r w:rsidR="008C3CBB" w:rsidRPr="008C3CBB">
        <w:rPr>
          <w:color w:val="000000"/>
          <w:shd w:val="clear" w:color="auto" w:fill="FFFFFF"/>
        </w:rPr>
        <w:t xml:space="preserve">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4B6A8B">
        <w:rPr>
          <w:color w:val="000000"/>
          <w:shd w:val="clear" w:color="auto" w:fill="FFFFFF"/>
        </w:rPr>
        <w:instrText xml:space="preserve"> ADDIN ZOTERO_ITEM CSL_CITATION {"citationID":"TMqXaGND","properties":{"formattedCitation":"\\super 21\\nosupersub{}","plainCitation":"21","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4B6A8B" w:rsidRPr="004B2F0E">
        <w:rPr>
          <w:rFonts w:ascii="Calibri" w:hAnsi="Calibri" w:cs="Calibri"/>
          <w:szCs w:val="24"/>
          <w:vertAlign w:val="superscript"/>
        </w:rPr>
        <w:t>21</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4B2F0E">
        <w:rPr>
          <w:color w:val="000000"/>
          <w:shd w:val="clear" w:color="auto" w:fill="FFFFFF"/>
        </w:rPr>
        <w:instrText xml:space="preserve"> ADDIN ZOTERO_ITEM CSL_CITATION {"citationID":"Xn3eJCIr","properties":{"formattedCitation":"\\super 22\\nosupersub{}","plainCitation":"22","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4B2F0E" w:rsidRPr="004B2F0E">
        <w:rPr>
          <w:rFonts w:ascii="Calibri" w:hAnsi="Calibri" w:cs="Calibri"/>
          <w:szCs w:val="24"/>
          <w:vertAlign w:val="superscript"/>
        </w:rPr>
        <w:t>22</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032228">
        <w:rPr>
          <w:color w:val="000000"/>
          <w:shd w:val="clear" w:color="auto" w:fill="FFFFFF"/>
        </w:rPr>
        <w:instrText xml:space="preserve"> ADDIN ZOTERO_ITEM CSL_CITATION {"citationID":"AliTZQ01","properties":{"formattedCitation":"\\super 23\\nosupersub{}","plainCitation":"23","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032228" w:rsidRPr="00032228">
        <w:rPr>
          <w:rFonts w:ascii="Calibri" w:hAnsi="Calibri" w:cs="Calibri"/>
          <w:szCs w:val="24"/>
          <w:vertAlign w:val="superscript"/>
        </w:rPr>
        <w:t>23</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700A3F11" w:rsidR="009D1ABA" w:rsidRDefault="009D1ABA" w:rsidP="00476E17">
      <w:pPr>
        <w:pStyle w:val="Heading3"/>
        <w:rPr>
          <w:lang w:val="en-US"/>
        </w:rPr>
      </w:pPr>
      <w:bookmarkStart w:id="10" w:name="_Toc88049348"/>
      <w:r>
        <w:rPr>
          <w:lang w:val="en-US"/>
        </w:rPr>
        <w:t>Differentiation</w:t>
      </w:r>
      <w:r w:rsidR="00FF62E0">
        <w:rPr>
          <w:lang w:val="en-US"/>
        </w:rPr>
        <w:t xml:space="preserve"> and development</w:t>
      </w:r>
      <w:bookmarkEnd w:id="10"/>
    </w:p>
    <w:p w14:paraId="188A1207" w14:textId="13EC376D" w:rsidR="00FF62E0" w:rsidRDefault="00FF62E0" w:rsidP="00FF62E0">
      <w:pPr>
        <w:rPr>
          <w:lang w:val="en-US"/>
        </w:rPr>
      </w:pPr>
      <w:r>
        <w:rPr>
          <w:lang w:val="en-US"/>
        </w:rPr>
        <w:t>Differentiation of cells is strongly influenced by epigenetic factors</w:t>
      </w:r>
      <w:r w:rsidR="007A31B0">
        <w:rPr>
          <w:lang w:val="en-US"/>
        </w:rPr>
        <w:t>.</w:t>
      </w:r>
      <w:r>
        <w:rPr>
          <w:lang w:val="en-US"/>
        </w:rPr>
        <w:t xml:space="preserve"> </w:t>
      </w:r>
      <w:r w:rsidRPr="004E28F2">
        <w:rPr>
          <w:lang w:val="en-US"/>
        </w:rPr>
        <w:t>Dnmt3a</w:t>
      </w:r>
      <w:r>
        <w:rPr>
          <w:lang w:val="en-US"/>
        </w:rPr>
        <w:t xml:space="preserve"> </w:t>
      </w:r>
      <w:r w:rsidR="00EA693B">
        <w:rPr>
          <w:lang w:val="en-US"/>
        </w:rPr>
        <w:t>is</w:t>
      </w:r>
      <w:r>
        <w:rPr>
          <w:lang w:val="en-US"/>
        </w:rPr>
        <w:t xml:space="preserve"> a key factor in embryonic stem cell differentiation</w:t>
      </w:r>
      <w:r>
        <w:rPr>
          <w:lang w:val="en-US"/>
        </w:rPr>
        <w:fldChar w:fldCharType="begin"/>
      </w:r>
      <w:r w:rsidR="004B2F0E">
        <w:rPr>
          <w:lang w:val="en-US"/>
        </w:rPr>
        <w:instrText xml:space="preserve"> ADDIN ZOTERO_ITEM CSL_CITATION {"citationID":"A3UTbCUM","properties":{"formattedCitation":"\\super 12\\nosupersub{}","plainCitation":"12","noteIndex":0},"citationItems":[{"id":935,"uris":["http://zotero.org/users/local/oxMpWYo5/items/SQ25ZKE2"],"uri":["http://zotero.org/users/local/oxMpWYo5/items/SQ25ZKE2"],"itemData":{"id":935,"type":"article-journal","abstract":"The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Pr>
          <w:lang w:val="en-US"/>
        </w:rPr>
        <w:fldChar w:fldCharType="separate"/>
      </w:r>
      <w:r w:rsidR="004B2F0E" w:rsidRPr="004B2F0E">
        <w:rPr>
          <w:rFonts w:ascii="Calibri" w:hAnsi="Calibri" w:cs="Calibri"/>
          <w:szCs w:val="24"/>
          <w:vertAlign w:val="superscript"/>
        </w:rPr>
        <w:t>12</w:t>
      </w:r>
      <w:r>
        <w:rPr>
          <w:lang w:val="en-US"/>
        </w:rPr>
        <w:fldChar w:fldCharType="end"/>
      </w:r>
      <w:r>
        <w:rPr>
          <w:lang w:val="en-US"/>
        </w:rPr>
        <w:t xml:space="preserve"> </w:t>
      </w:r>
      <w:r w:rsidR="007A31B0">
        <w:rPr>
          <w:lang w:val="en-US"/>
        </w:rPr>
        <w:t>and</w:t>
      </w:r>
      <w:r>
        <w:rPr>
          <w:lang w:val="en-US"/>
        </w:rPr>
        <w:t xml:space="preserve"> TET1/TET2 </w:t>
      </w:r>
      <w:r w:rsidR="007A31B0">
        <w:rPr>
          <w:lang w:val="en-US"/>
        </w:rPr>
        <w:t xml:space="preserve">has shown to </w:t>
      </w:r>
      <w:r>
        <w:rPr>
          <w:lang w:val="en-US"/>
        </w:rPr>
        <w:t xml:space="preserve">maintain </w:t>
      </w:r>
      <w:r w:rsidRPr="00AA7070">
        <w:rPr>
          <w:lang w:val="en-US"/>
        </w:rPr>
        <w:t xml:space="preserve">pluripotency </w:t>
      </w:r>
      <w:r>
        <w:rPr>
          <w:lang w:val="en-US"/>
        </w:rPr>
        <w:t>of stem cells</w:t>
      </w:r>
      <w:r>
        <w:rPr>
          <w:lang w:val="en-US"/>
        </w:rPr>
        <w:fldChar w:fldCharType="begin"/>
      </w:r>
      <w:r w:rsidR="004B2F0E">
        <w:rPr>
          <w:lang w:val="en-US"/>
        </w:rPr>
        <w:instrText xml:space="preserve"> ADDIN ZOTERO_ITEM CSL_CITATION {"citationID":"a5Xz6g5g","properties":{"formattedCitation":"\\super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Pr>
          <w:lang w:val="en-US"/>
        </w:rPr>
        <w:fldChar w:fldCharType="separate"/>
      </w:r>
      <w:r w:rsidR="004B2F0E" w:rsidRPr="004B2F0E">
        <w:rPr>
          <w:rFonts w:ascii="Calibri" w:hAnsi="Calibri" w:cs="Calibri"/>
          <w:szCs w:val="24"/>
          <w:vertAlign w:val="superscript"/>
        </w:rPr>
        <w:t>13</w:t>
      </w:r>
      <w:r>
        <w:rPr>
          <w:lang w:val="en-US"/>
        </w:rPr>
        <w:fldChar w:fldCharType="end"/>
      </w:r>
      <w:r>
        <w:rPr>
          <w:lang w:val="en-US"/>
        </w:rPr>
        <w:t xml:space="preserve">. </w:t>
      </w:r>
      <w:r w:rsidR="00932A0F">
        <w:rPr>
          <w:lang w:val="en-US"/>
        </w:rPr>
        <w:t>The entire epigenetic landscape shows two significant shifts</w:t>
      </w:r>
      <w:r w:rsidR="006024F1">
        <w:rPr>
          <w:lang w:val="en-US"/>
        </w:rPr>
        <w:t xml:space="preserve">: </w:t>
      </w:r>
      <w:r w:rsidR="00932A0F">
        <w:rPr>
          <w:lang w:val="en-US"/>
        </w:rPr>
        <w:t xml:space="preserve">immediate post-fertilization and </w:t>
      </w:r>
      <w:r w:rsidR="006024F1">
        <w:rPr>
          <w:lang w:val="en-US"/>
        </w:rPr>
        <w:t xml:space="preserve">during </w:t>
      </w:r>
      <w:r w:rsidR="00932A0F">
        <w:rPr>
          <w:lang w:val="en-US"/>
        </w:rPr>
        <w:t>g</w:t>
      </w:r>
      <w:r w:rsidR="00932A0F" w:rsidRPr="00932A0F">
        <w:rPr>
          <w:lang w:val="en-US"/>
        </w:rPr>
        <w:t xml:space="preserve">erm </w:t>
      </w:r>
      <w:r w:rsidR="00932A0F">
        <w:rPr>
          <w:lang w:val="en-US"/>
        </w:rPr>
        <w:t>c</w:t>
      </w:r>
      <w:r w:rsidR="00932A0F" w:rsidRPr="00932A0F">
        <w:rPr>
          <w:lang w:val="en-US"/>
        </w:rPr>
        <w:t xml:space="preserve">ell </w:t>
      </w:r>
      <w:r w:rsidR="00932A0F">
        <w:rPr>
          <w:lang w:val="en-US"/>
        </w:rPr>
        <w:t>s</w:t>
      </w:r>
      <w:r w:rsidR="00932A0F" w:rsidRPr="00932A0F">
        <w:rPr>
          <w:lang w:val="en-US"/>
        </w:rPr>
        <w:t>pecification</w:t>
      </w:r>
      <w:r w:rsidR="00CB54C0">
        <w:rPr>
          <w:lang w:val="en-US"/>
        </w:rPr>
        <w:t xml:space="preserve">. </w:t>
      </w:r>
    </w:p>
    <w:p w14:paraId="32E6B037" w14:textId="570309B1" w:rsidR="00FF62E0" w:rsidRDefault="00FF62E0" w:rsidP="00C34F19">
      <w:pPr>
        <w:rPr>
          <w:lang w:val="en-US"/>
        </w:rPr>
      </w:pPr>
    </w:p>
    <w:p w14:paraId="2A97B1BB" w14:textId="77777777" w:rsidR="00FF62E0" w:rsidRPr="00C34F19" w:rsidRDefault="00FF62E0" w:rsidP="00C34F19">
      <w:pPr>
        <w:rPr>
          <w:lang w:val="en-US"/>
        </w:rPr>
      </w:pPr>
    </w:p>
    <w:p w14:paraId="11D32B2B" w14:textId="75D701F5" w:rsidR="009D1ABA" w:rsidRPr="009D1ABA" w:rsidRDefault="009D1ABA" w:rsidP="00DE5F29">
      <w:pPr>
        <w:jc w:val="both"/>
        <w:rPr>
          <w:lang w:val="en-US"/>
        </w:rPr>
      </w:pPr>
      <w:r>
        <w:rPr>
          <w:lang w:val="en-US"/>
        </w:rPr>
        <w:t xml:space="preserve">Furthermore, </w:t>
      </w:r>
      <w:r w:rsidR="00DC3567">
        <w:rPr>
          <w:lang w:val="en-US"/>
        </w:rPr>
        <w:t>methylation patterns are</w:t>
      </w:r>
      <w:r>
        <w:rPr>
          <w:lang w:val="en-US"/>
        </w:rPr>
        <w:t xml:space="preserve"> maintained through cell division, so they are considered heritable</w:t>
      </w:r>
      <w:r w:rsidR="00B006F4">
        <w:rPr>
          <w:lang w:val="en-US"/>
        </w:rPr>
        <w:fldChar w:fldCharType="begin"/>
      </w:r>
      <w:r w:rsidR="004B2F0E">
        <w:rPr>
          <w:lang w:val="en-US"/>
        </w:rPr>
        <w:instrText xml:space="preserve"> ADDIN ZOTERO_ITEM CSL_CITATION {"citationID":"4ToD25MT","properties":{"formattedCitation":"\\super 24\\nosupersub{}","plainCitation":"24","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4B2F0E" w:rsidRPr="004B2F0E">
        <w:rPr>
          <w:rFonts w:ascii="Calibri" w:hAnsi="Calibri" w:cs="Calibri"/>
          <w:szCs w:val="24"/>
          <w:vertAlign w:val="superscript"/>
        </w:rPr>
        <w:t>24</w:t>
      </w:r>
      <w:r w:rsidR="00B006F4">
        <w:rPr>
          <w:lang w:val="en-US"/>
        </w:rPr>
        <w:fldChar w:fldCharType="end"/>
      </w:r>
      <w:r>
        <w:rPr>
          <w:lang w:val="en-US"/>
        </w:rPr>
        <w:t>. During DNA replication, p</w:t>
      </w:r>
      <w:r w:rsidRPr="00A01729">
        <w:rPr>
          <w:lang w:val="en-US"/>
        </w:rPr>
        <w:t>roliferating cell nuclear antigen (PCNA) molecules</w:t>
      </w:r>
      <w:r>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4B2F0E">
        <w:rPr>
          <w:lang w:val="en-US"/>
        </w:rPr>
        <w:instrText xml:space="preserve"> ADDIN ZOTERO_ITEM CSL_CITATION {"citationID":"cphQnsfX","properties":{"formattedCitation":"\\super 25\\nosupersub{}","plainCitation":"25","noteIndex":0},"citationItems":[{"id":863,"uris":["http://zotero.org/users/local/oxMpWYo5/items/YX4RI2N2"],"uri":["http://zotero.org/users/local/oxMpWYo5/items/YX4RI2N2"],"itemData":{"id":863,"type":"article-journal","abstract":"Stem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C176DF">
        <w:rPr>
          <w:lang w:val="en-US"/>
        </w:rPr>
        <w:fldChar w:fldCharType="separate"/>
      </w:r>
      <w:r w:rsidR="004B2F0E" w:rsidRPr="004B2F0E">
        <w:rPr>
          <w:rFonts w:ascii="Calibri" w:hAnsi="Calibri" w:cs="Calibri"/>
          <w:szCs w:val="24"/>
          <w:vertAlign w:val="superscript"/>
        </w:rPr>
        <w:t>25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34501688"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w:t>
      </w:r>
      <w:r w:rsidR="00010D72">
        <w:rPr>
          <w:color w:val="000000"/>
          <w:shd w:val="clear" w:color="auto" w:fill="FFFFFF"/>
        </w:rPr>
        <w:t>i</w:t>
      </w:r>
      <w:r w:rsidR="00010D72">
        <w:rPr>
          <w:color w:val="000000"/>
          <w:shd w:val="clear" w:color="auto" w:fill="FFFFFF"/>
        </w:rPr>
        <w:t xml:space="preserve">s not </w:t>
      </w:r>
      <w:r w:rsidR="00010D72">
        <w:rPr>
          <w:color w:val="000000"/>
          <w:shd w:val="clear" w:color="auto" w:fill="FFFFFF"/>
        </w:rPr>
        <w:t>error-proof. S</w:t>
      </w:r>
      <w:r w:rsidR="00010D72">
        <w:rPr>
          <w:color w:val="000000"/>
          <w:shd w:val="clear" w:color="auto" w:fill="FFFFFF"/>
        </w:rPr>
        <w:t>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the classical methyl donor</w:t>
      </w:r>
      <w:r w:rsidR="004434B7">
        <w:rPr>
          <w:color w:val="000000"/>
          <w:shd w:val="clear" w:color="auto" w:fill="FFFFFF"/>
        </w:rPr>
        <w:t>,</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4B2F0E">
        <w:rPr>
          <w:color w:val="000000"/>
          <w:shd w:val="clear" w:color="auto" w:fill="FFFFFF"/>
        </w:rPr>
        <w:instrText xml:space="preserve"> ADDIN ZOTERO_ITEM CSL_CITATION {"citationID":"WTjJesCh","properties":{"formattedCitation":"\\super 26\\nosupersub{}","plainCitation":"26","noteIndex":0},"citationItems":[{"id":1150,"uris":["http://zotero.org/users/local/oxMpWYo5/items/DS3RY5RB"],"uri":["http://zotero.org/users/local/oxMpWYo5/items/DS3RY5RB"],"itemData":{"id":1150,"type":"chapter","abstract":"Epigenetics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4B2F0E" w:rsidRPr="004B2F0E">
        <w:rPr>
          <w:rFonts w:ascii="Calibri" w:hAnsi="Calibri" w:cs="Calibri"/>
          <w:szCs w:val="24"/>
          <w:vertAlign w:val="superscript"/>
        </w:rPr>
        <w:t>26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662DD1">
        <w:rPr>
          <w:color w:val="000000"/>
          <w:shd w:val="clear" w:color="auto" w:fill="FFFFFF"/>
        </w:rPr>
        <w:instrText xml:space="preserve"> ADDIN ZOTERO_ITEM CSL_CITATION {"citationID":"JXuKVSpo","properties":{"formattedCitation":"\\super 27\\nosupersub{}","plainCitation":"27","noteIndex":0},"citationItems":[{"id":1157,"uris":["http://zotero.org/users/local/oxMpWYo5/items/6RHYHPYR"],"uri":["http://zotero.org/users/local/oxMpWYo5/items/6RHYHPYR"],"itemData":{"id":1157,"type":"article-journal","abstract":"The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662DD1" w:rsidRPr="004B2F0E">
        <w:rPr>
          <w:rFonts w:ascii="Calibri" w:hAnsi="Calibri" w:cs="Calibri"/>
          <w:szCs w:val="24"/>
          <w:vertAlign w:val="superscript"/>
        </w:rPr>
        <w:t>27</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4B2F0E">
        <w:rPr>
          <w:color w:val="000000"/>
          <w:shd w:val="clear" w:color="auto" w:fill="FFFFFF"/>
        </w:rPr>
        <w:instrText xml:space="preserve"> ADDIN ZOTERO_ITEM CSL_CITATION {"citationID":"CUfAVrW1","properties":{"formattedCitation":"\\super 28\\nosupersub{}","plainCitation":"28","noteIndex":0},"citationItems":[{"id":1154,"uris":["http://zotero.org/users/local/oxMpWYo5/items/L74KT3MJ"],"uri":["http://zotero.org/users/local/oxMpWYo5/items/L74KT3MJ"],"itemData":{"id":1154,"type":"article-journal","abstract":"Genome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4B2F0E" w:rsidRPr="004B2F0E">
        <w:rPr>
          <w:rFonts w:ascii="Calibri" w:hAnsi="Calibri" w:cs="Calibri"/>
          <w:szCs w:val="24"/>
          <w:vertAlign w:val="superscript"/>
        </w:rPr>
        <w:t>28</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D41530">
        <w:rPr>
          <w:color w:val="000000"/>
          <w:shd w:val="clear" w:color="auto" w:fill="FFFFFF"/>
        </w:rPr>
        <w:instrText xml:space="preserve"> ADDIN ZOTERO_ITEM CSL_CITATION {"citationID":"3RRntnKZ","properties":{"formattedCitation":"\\super 26\\nosupersub{}","plainCitation":"26","noteIndex":0},"citationItems":[{"id":1150,"uris":["http://zotero.org/users/local/oxMpWYo5/items/DS3RY5RB"],"uri":["http://zotero.org/users/local/oxMpWYo5/items/DS3RY5RB"],"itemData":{"id":1150,"type":"chapter","abstract":"Epigenetics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D41530" w:rsidRPr="00D41530">
        <w:rPr>
          <w:rFonts w:ascii="Calibri" w:hAnsi="Calibri" w:cs="Calibri"/>
          <w:szCs w:val="24"/>
          <w:vertAlign w:val="superscript"/>
        </w:rPr>
        <w:t>26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1453AF">
        <w:rPr>
          <w:color w:val="000000"/>
          <w:shd w:val="clear" w:color="auto" w:fill="FFFFFF"/>
        </w:rPr>
        <w:instrText xml:space="preserve"> ADDIN ZOTERO_ITEM CSL_CITATION {"citationID":"UCyFNWpd","properties":{"formattedCitation":"\\super 25\\nosupersub{}","plainCitation":"25","noteIndex":0},"citationItems":[{"id":863,"uris":["http://zotero.org/users/local/oxMpWYo5/items/YX4RI2N2"],"uri":["http://zotero.org/users/local/oxMpWYo5/items/YX4RI2N2"],"itemData":{"id":863,"type":"article-journal","abstract":"Stem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1453AF" w:rsidRPr="001453AF">
        <w:rPr>
          <w:rFonts w:ascii="Calibri" w:hAnsi="Calibri" w:cs="Calibri"/>
          <w:szCs w:val="24"/>
          <w:vertAlign w:val="superscript"/>
        </w:rPr>
        <w:t>25</w:t>
      </w:r>
      <w:r w:rsidR="001453AF">
        <w:rPr>
          <w:color w:val="000000"/>
          <w:shd w:val="clear" w:color="auto" w:fill="FFFFFF"/>
        </w:rPr>
        <w:fldChar w:fldCharType="end"/>
      </w:r>
      <w:r w:rsidR="00A62933">
        <w:rPr>
          <w:color w:val="000000"/>
          <w:shd w:val="clear" w:color="auto" w:fill="FFFFFF"/>
        </w:rPr>
        <w:t>.</w:t>
      </w:r>
    </w:p>
    <w:p w14:paraId="371C60BC" w14:textId="7F7D2A7B" w:rsidR="001800F7" w:rsidRDefault="0080062F" w:rsidP="0080062F">
      <w:pPr>
        <w:rPr>
          <w:lang w:val="en-US"/>
        </w:rPr>
      </w:pPr>
      <w:r>
        <w:rPr>
          <w:lang w:val="en-US"/>
        </w:rPr>
        <w:lastRenderedPageBreak/>
        <w:t>E</w:t>
      </w:r>
      <w:r>
        <w:rPr>
          <w:lang w:val="en-US"/>
        </w:rPr>
        <w:t xml:space="preserve">xternal factors </w:t>
      </w:r>
      <w:r>
        <w:rPr>
          <w:lang w:val="en-US"/>
        </w:rPr>
        <w:t xml:space="preserve">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4B2F0E">
        <w:rPr>
          <w:lang w:val="en-US"/>
        </w:rPr>
        <w:instrText xml:space="preserve"> ADDIN ZOTERO_ITEM CSL_CITATION {"citationID":"l5lQZzFY","properties":{"formattedCitation":"\\super 29\\nosupersub{}","plainCitation":"29","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4B2F0E" w:rsidRPr="004B2F0E">
        <w:rPr>
          <w:rFonts w:ascii="Calibri" w:hAnsi="Calibri" w:cs="Calibri"/>
          <w:szCs w:val="24"/>
          <w:vertAlign w:val="superscript"/>
        </w:rPr>
        <w:t>29</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4B2F0E">
        <w:rPr>
          <w:lang w:val="en-US"/>
        </w:rPr>
        <w:instrText xml:space="preserve"> ADDIN ZOTERO_ITEM CSL_CITATION {"citationID":"Nd9HVQmZ","properties":{"formattedCitation":"\\super 30\\nosupersub{}","plainCitation":"30","noteIndex":0},"citationItems":[{"id":1142,"uris":["http://zotero.org/users/local/oxMpWYo5/items/KUWAFDS5"],"uri":["http://zotero.org/users/local/oxMpWYo5/items/KUWAFDS5"],"itemData":{"id":1142,"type":"article-journal","abstract":"DNA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4B2F0E" w:rsidRPr="004B2F0E">
        <w:rPr>
          <w:rFonts w:ascii="Calibri" w:hAnsi="Calibri" w:cs="Calibri"/>
          <w:szCs w:val="24"/>
          <w:vertAlign w:val="superscript"/>
        </w:rPr>
        <w:t>30</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4B2F0E">
        <w:rPr>
          <w:lang w:val="en-US"/>
        </w:rPr>
        <w:instrText xml:space="preserve"> ADDIN ZOTERO_ITEM CSL_CITATION {"citationID":"4kcesCS6","properties":{"formattedCitation":"\\super 31\\nosupersub{}","plainCitation":"31","noteIndex":0},"citationItems":[{"id":1148,"uris":["http://zotero.org/users/local/oxMpWYo5/items/EI6MGU8M"],"uri":["http://zotero.org/users/local/oxMpWYo5/items/EI6MGU8M"],"itemData":{"id":1148,"type":"webpage","title":"In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4B2F0E" w:rsidRPr="004B2F0E">
        <w:rPr>
          <w:rFonts w:ascii="Calibri" w:hAnsi="Calibri" w:cs="Calibri"/>
          <w:szCs w:val="24"/>
          <w:vertAlign w:val="superscript"/>
        </w:rPr>
        <w:t>31</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625514">
        <w:rPr>
          <w:lang w:val="en-US"/>
        </w:rPr>
        <w:instrText xml:space="preserve"> ADDIN ZOTERO_ITEM CSL_CITATION {"citationID":"HQpDVIkd","properties":{"formattedCitation":"\\super 32\\nosupersub{}","plainCitation":"32","noteIndex":0},"citationItems":[{"id":1139,"uris":["http://zotero.org/users/local/oxMpWYo5/items/SVESNIE8"],"uri":["http://zotero.org/users/local/oxMpWYo5/items/SVESNIE8"],"itemData":{"id":1139,"type":"article-journal","abstract":"Purpose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625514" w:rsidRPr="004B2F0E">
        <w:rPr>
          <w:rFonts w:ascii="Calibri" w:hAnsi="Calibri" w:cs="Calibri"/>
          <w:szCs w:val="24"/>
          <w:vertAlign w:val="superscript"/>
        </w:rPr>
        <w:t>32</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4B2F0E">
        <w:rPr>
          <w:lang w:val="en-US"/>
        </w:rPr>
        <w:instrText xml:space="preserve"> ADDIN ZOTERO_ITEM CSL_CITATION {"citationID":"ZjpGj9uY","properties":{"formattedCitation":"\\super 33\\nosupersub{}","plainCitation":"33","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4B2F0E" w:rsidRPr="004B2F0E">
        <w:rPr>
          <w:rFonts w:ascii="Calibri" w:hAnsi="Calibri" w:cs="Calibri"/>
          <w:szCs w:val="24"/>
          <w:vertAlign w:val="superscript"/>
        </w:rPr>
        <w:t>33</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4B2F0E">
        <w:rPr>
          <w:lang w:val="en-US"/>
        </w:rPr>
        <w:instrText xml:space="preserve"> ADDIN ZOTERO_ITEM CSL_CITATION {"citationID":"6VpYB7jh","properties":{"formattedCitation":"\\super 34\\nosupersub{}","plainCitation":"34","noteIndex":0},"citationItems":[{"id":1065,"uris":["http://zotero.org/users/local/oxMpWYo5/items/7Y4VWINJ"],"uri":["http://zotero.org/users/local/oxMpWYo5/items/7Y4VWINJ"],"itemData":{"id":1065,"type":"article-journal","abstract":"The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4B2F0E" w:rsidRPr="004B2F0E">
        <w:rPr>
          <w:rFonts w:ascii="Calibri" w:hAnsi="Calibri" w:cs="Calibri"/>
          <w:szCs w:val="24"/>
          <w:vertAlign w:val="superscript"/>
        </w:rPr>
        <w:t>34</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4B2F0E">
        <w:rPr>
          <w:lang w:val="en-US"/>
        </w:rPr>
        <w:instrText xml:space="preserve"> ADDIN ZOTERO_ITEM CSL_CITATION {"citationID":"Y047hhRV","properties":{"formattedCitation":"\\super 35\\nosupersub{}","plainCitation":"35","noteIndex":0},"citationItems":[{"id":1068,"uris":["http://zotero.org/users/local/oxMpWYo5/items/FKP4ZM7W"],"uri":["http://zotero.org/users/local/oxMpWYo5/items/FKP4ZM7W"],"itemData":{"id":1068,"type":"article-journal","abstract":"Animal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4B2F0E" w:rsidRPr="004B2F0E">
        <w:rPr>
          <w:rFonts w:ascii="Calibri" w:hAnsi="Calibri" w:cs="Calibri"/>
          <w:szCs w:val="24"/>
          <w:vertAlign w:val="superscript"/>
        </w:rPr>
        <w:t>35</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2879E870"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FA595A">
        <w:rPr>
          <w:lang w:val="en-US"/>
        </w:rPr>
        <w:instrText xml:space="preserve"> ADDIN ZOTERO_ITEM CSL_CITATION {"citationID":"ZFsaIJV0","properties":{"formattedCitation":"\\super 36\\nosupersub{}","plainCitation":"36","noteIndex":0},"citationItems":[{"id":1195,"uris":["http://zotero.org/users/local/oxMpWYo5/items/YV9VBP2X"],"uri":["http://zotero.org/users/local/oxMpWYo5/items/YV9VBP2X"],"itemData":{"id":1195,"type":"article-journal","abstract":"Genetic causes for human disorders are being discovered at an unprecedented pace. A growing subclass of disease-causing mutations involves changes in the epigenome or in the abundance and activity of proteins that regulate chromatin structure. This article focuses on research that has uncovered human diseases that stem from such epigenetic deregulation. Disease may be caused by direct changes in epigenetic marks, such as DNA methylation, commonly found to affect imprinted gene regulation. Also described are disease-causing genetic mutations in epigenetic modifiers that either affect chromatin in trans or have a cis effect in altering chromatin configuration.","container-title":"Cold Spring Harbor Perspectives in Biology","DOI":"10.1101/cshperspect.a019497","ISSN":", 1943-0264","issue":"2","journalAbbreviation":"Cold Spring Harb Perspect Biol","language":"en","note":"Company: Cold Spring Harbor Laboratory Press\nDistributor: Cold Spring Harbor Laboratory Press\nInstitution: Cold Spring Harbor Laboratory Press\nLabel: Cold Spring Harbor Laboratory Press\npublisher: Cold Spring Harbor Lab\nPMID: 26834142","page":"a019497","source":"cshperspectives.cshlp.org","title":"Epigenetics and Human Disease","volume":"8","author":[{"family":"Zoghbi","given":"Huda Y."},{"family":"Beaudet","given":"Arthur L."}],"issued":{"date-parts":[["2016",2,1]]}}}],"schema":"https://github.com/citation-style-language/schema/raw/master/csl-citation.json"} </w:instrText>
      </w:r>
      <w:r w:rsidR="00FA595A">
        <w:rPr>
          <w:lang w:val="en-US"/>
        </w:rPr>
        <w:fldChar w:fldCharType="separate"/>
      </w:r>
      <w:r w:rsidR="00FA595A" w:rsidRPr="00975E47">
        <w:rPr>
          <w:rFonts w:ascii="Calibri" w:hAnsi="Calibri" w:cs="Calibri"/>
          <w:szCs w:val="24"/>
          <w:vertAlign w:val="superscript"/>
        </w:rPr>
        <w:t>36</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D21735">
        <w:rPr>
          <w:lang w:val="en-US"/>
        </w:rPr>
        <w:instrText xml:space="preserve"> ADDIN ZOTERO_ITEM CSL_CITATION {"citationID":"LqDzFNX7","properties":{"formattedCitation":"\\super 37\\nosupersub{}","plainCitation":"37","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D21735" w:rsidRPr="00D21735">
        <w:rPr>
          <w:rFonts w:ascii="Calibri" w:hAnsi="Calibri" w:cs="Calibri"/>
          <w:szCs w:val="24"/>
          <w:vertAlign w:val="superscript"/>
        </w:rPr>
        <w:t>37</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DC674A">
        <w:rPr>
          <w:lang w:val="en-US"/>
        </w:rPr>
        <w:instrText xml:space="preserve"> ADDIN ZOTERO_ITEM CSL_CITATION {"citationID":"bnN0y0ZV","properties":{"formattedCitation":"\\super 36\\nosupersub{}","plainCitation":"36","noteIndex":0},"citationItems":[{"id":1195,"uris":["http://zotero.org/users/local/oxMpWYo5/items/YV9VBP2X"],"uri":["http://zotero.org/users/local/oxMpWYo5/items/YV9VBP2X"],"itemData":{"id":1195,"type":"article-journal","abstract":"Genetic causes for human disorders are being discovered at an unprecedented pace. A growing subclass of disease-causing mutations involves changes in the epigenome or in the abundance and activity of proteins that regulate chromatin structure. This article focuses on research that has uncovered human diseases that stem from such epigenetic deregulation. Disease may be caused by direct changes in epigenetic marks, such as DNA methylation, commonly found to affect imprinted gene regulation. Also described are disease-causing genetic mutations in epigenetic modifiers that either affect chromatin in trans or have a cis effect in altering chromatin configuration.","container-title":"Cold Spring Harbor Perspectives in Biology","DOI":"10.1101/cshperspect.a019497","ISSN":", 1943-0264","issue":"2","journalAbbreviation":"Cold Spring Harb Perspect Biol","language":"en","note":"Company: Cold Spring Harbor Laboratory Press\nDistributor: Cold Spring Harbor Laboratory Press\nInstitution: Cold Spring Harbor Laboratory Press\nLabel: Cold Spring Harbor Laboratory Press\npublisher: Cold Spring Harbor Lab\nPMID: 26834142","page":"a019497","source":"cshperspectives.cshlp.org","title":"Epigenetics and Human Disease","volume":"8","author":[{"family":"Zoghbi","given":"Huda Y."},{"family":"Beaudet","given":"Arthur L."}],"issued":{"date-parts":[["2016",2,1]]}}}],"schema":"https://github.com/citation-style-language/schema/raw/master/csl-citation.json"} </w:instrText>
      </w:r>
      <w:r w:rsidR="00C62BA5">
        <w:rPr>
          <w:lang w:val="en-US"/>
        </w:rPr>
        <w:fldChar w:fldCharType="separate"/>
      </w:r>
      <w:r w:rsidR="00C62BA5" w:rsidRPr="00975E47">
        <w:rPr>
          <w:rFonts w:ascii="Calibri" w:hAnsi="Calibri" w:cs="Calibri"/>
          <w:szCs w:val="24"/>
          <w:vertAlign w:val="superscript"/>
        </w:rPr>
        <w:t>36</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D21735">
        <w:rPr>
          <w:lang w:val="en-US"/>
        </w:rPr>
        <w:instrText xml:space="preserve"> ADDIN ZOTERO_ITEM CSL_CITATION {"citationID":"VSrUuacG","properties":{"formattedCitation":"\\super 38\\nosupersub{}","plainCitation":"38","noteIndex":0},"citationItems":[{"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D21735" w:rsidRPr="00D21735">
        <w:rPr>
          <w:rFonts w:ascii="Calibri" w:hAnsi="Calibri" w:cs="Calibri"/>
          <w:szCs w:val="24"/>
          <w:vertAlign w:val="superscript"/>
        </w:rPr>
        <w:t>38</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2CA3738B" w:rsidR="002F7B56" w:rsidRDefault="00ED2AF1" w:rsidP="00FD427A">
      <w:pPr>
        <w:rPr>
          <w:lang w:val="en-US"/>
        </w:rPr>
      </w:pPr>
      <w:r>
        <w:rPr>
          <w:lang w:val="en-US"/>
        </w:rPr>
        <w:t>Hypo- and hypermethylation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DC674A">
        <w:rPr>
          <w:lang w:val="en-US"/>
        </w:rPr>
        <w:instrText xml:space="preserve"> ADDIN ZOTERO_ITEM CSL_CITATION {"citationID":"7e2W70Kq","properties":{"formattedCitation":"\\super 39\\nosupersub{}","plainCitation":"39","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DC674A" w:rsidRPr="00DC674A">
        <w:rPr>
          <w:rFonts w:ascii="Calibri" w:hAnsi="Calibri" w:cs="Calibri"/>
          <w:szCs w:val="24"/>
          <w:vertAlign w:val="superscript"/>
        </w:rPr>
        <w:t>39</w:t>
      </w:r>
      <w:r w:rsidR="008739A3">
        <w:rPr>
          <w:lang w:val="en-US"/>
        </w:rPr>
        <w:fldChar w:fldCharType="end"/>
      </w:r>
      <w:r w:rsidR="008739A3">
        <w:rPr>
          <w:lang w:val="en-US"/>
        </w:rPr>
        <w:t xml:space="preserve">. </w:t>
      </w:r>
      <w:r w:rsidR="00534988">
        <w:rPr>
          <w:lang w:val="en-US"/>
        </w:rPr>
        <w:t>Methylation machinery is often dysregulated in tumor cells</w:t>
      </w:r>
      <w:r w:rsidR="00772694">
        <w:rPr>
          <w:lang w:val="en-US"/>
        </w:rPr>
        <w:t xml:space="preserve">: </w:t>
      </w:r>
      <w:r w:rsidR="005760DA">
        <w:rPr>
          <w:lang w:val="en-US"/>
        </w:rPr>
        <w:t xml:space="preserve"> </w:t>
      </w:r>
      <w:r w:rsidR="00772694">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DC674A">
        <w:rPr>
          <w:lang w:val="en-US"/>
        </w:rPr>
        <w:instrText xml:space="preserve"> ADDIN ZOTERO_ITEM CSL_CITATION {"citationID":"HVsySgqN","properties":{"formattedCitation":"\\super 40\\nosupersub{}","plainCitation":"40","noteIndex":0},"citationItems":[{"id":916,"uris":["http://zotero.org/users/local/oxMpWYo5/items/HIEWBAZM"],"uri":["http://zotero.org/users/local/oxMpWYo5/items/HIEWBAZM"],"itemData":{"id":916,"type":"article-journal","abstract":"DNA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DC674A" w:rsidRPr="00DC674A">
        <w:rPr>
          <w:rFonts w:ascii="Calibri" w:hAnsi="Calibri" w:cs="Calibri"/>
          <w:szCs w:val="24"/>
          <w:vertAlign w:val="superscript"/>
        </w:rPr>
        <w:t>40</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DC674A">
        <w:rPr>
          <w:lang w:val="en-US"/>
        </w:rPr>
        <w:instrText xml:space="preserve"> ADDIN ZOTERO_ITEM CSL_CITATION {"citationID":"afXvjLGo","properties":{"formattedCitation":"\\super 41\\nosupersub{}","plainCitation":"41","noteIndex":0},"citationItems":[{"id":1186,"uris":["http://zotero.org/users/local/oxMpWYo5/items/UG73I2UH"],"uri":["http://zotero.org/users/local/oxMpWYo5/items/UG73I2UH"],"itemData":{"id":1186,"type":"article-journal","abstract":"Disease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DC674A" w:rsidRPr="00DC674A">
        <w:rPr>
          <w:rFonts w:ascii="Calibri" w:hAnsi="Calibri" w:cs="Calibri"/>
          <w:szCs w:val="24"/>
          <w:vertAlign w:val="superscript"/>
        </w:rPr>
        <w:t>41</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as e</w:t>
      </w:r>
      <w:r w:rsidR="006F1A9D">
        <w:rPr>
          <w:lang w:val="en-US"/>
        </w:rPr>
        <w:t>ven epimutation</w:t>
      </w:r>
      <w:r w:rsidR="00A06E40">
        <w:rPr>
          <w:lang w:val="en-US"/>
        </w:rPr>
        <w:t>s</w:t>
      </w:r>
      <w:r w:rsidR="006F1A9D">
        <w:rPr>
          <w:lang w:val="en-US"/>
        </w:rPr>
        <w:t xml:space="preserve"> of a s</w:t>
      </w:r>
      <w:r w:rsidR="002F7B56" w:rsidRPr="00E31D10">
        <w:rPr>
          <w:lang w:val="en-US"/>
        </w:rPr>
        <w:t>ingle CpG</w:t>
      </w:r>
      <w:r w:rsidR="006F1A9D">
        <w:rPr>
          <w:lang w:val="en-US"/>
        </w:rPr>
        <w:t xml:space="preserve"> can have significant effect;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DC674A">
        <w:rPr>
          <w:lang w:val="en-US"/>
        </w:rPr>
        <w:instrText xml:space="preserve"> ADDIN ZOTERO_ITEM CSL_CITATION {"citationID":"nlgr8aSj","properties":{"formattedCitation":"\\super 42\\nosupersub{}","plainCitation":"42","noteIndex":0},"citationItems":[{"id":1020,"uris":["http://zotero.org/users/local/oxMpWYo5/items/QNNI3AJB"],"uri":["http://zotero.org/users/local/oxMpWYo5/items/QNNI3AJB"],"itemData":{"id":1020,"type":"article-journal","abstract":"To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674A" w:rsidRPr="00DC674A">
        <w:rPr>
          <w:rFonts w:ascii="Calibri" w:hAnsi="Calibri" w:cs="Calibri"/>
          <w:szCs w:val="24"/>
          <w:vertAlign w:val="superscript"/>
        </w:rPr>
        <w:t>42</w:t>
      </w:r>
      <w:r w:rsidR="002F7B56">
        <w:rPr>
          <w:lang w:val="en-US"/>
        </w:rPr>
        <w:fldChar w:fldCharType="end"/>
      </w:r>
      <w:r w:rsidR="002F7B56">
        <w:rPr>
          <w:lang w:val="en-US"/>
        </w:rPr>
        <w:t>.</w:t>
      </w:r>
    </w:p>
    <w:p w14:paraId="1B4610E3" w14:textId="30AA74E1" w:rsidR="00D115B4" w:rsidRDefault="00D115B4" w:rsidP="00FD427A">
      <w:pPr>
        <w:rPr>
          <w:lang w:val="en-US"/>
        </w:rPr>
      </w:pPr>
      <w:r>
        <w:rPr>
          <w:lang w:val="en-US"/>
        </w:rPr>
        <w:t>Genetic imprinting has a known link to cancer</w:t>
      </w:r>
      <w:r>
        <w:rPr>
          <w:lang w:val="en-US"/>
        </w:rPr>
        <w:fldChar w:fldCharType="begin"/>
      </w:r>
      <w:r>
        <w:rPr>
          <w:lang w:val="en-US"/>
        </w:rPr>
        <w:instrText xml:space="preserve"> ADDIN ZOTERO_ITEM CSL_CITATION {"citationID":"NGxKeRf0","properties":{"formattedCitation":"\\super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Pr="00D115B4">
        <w:rPr>
          <w:rFonts w:ascii="Calibri" w:hAnsi="Calibri" w:cs="Calibri"/>
          <w:szCs w:val="24"/>
          <w:vertAlign w:val="superscript"/>
        </w:rPr>
        <w:t>43</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1E1F1934" w14:textId="02E6079E" w:rsidR="006F3114" w:rsidRDefault="005E5F42" w:rsidP="006F3114">
      <w:r w:rsidRPr="005E5F42">
        <w:rPr>
          <w:lang w:val="en-US"/>
        </w:rPr>
        <w:t xml:space="preserve">Glioma is a devastating, rapidly progressing disease with </w:t>
      </w:r>
      <w:r>
        <w:rPr>
          <w:lang w:val="en-US"/>
        </w:rPr>
        <w:t>one of the poorest outcomes of any cancer</w:t>
      </w:r>
      <w:r>
        <w:rPr>
          <w:lang w:val="en-US"/>
        </w:rPr>
        <w:fldChar w:fldCharType="begin"/>
      </w:r>
      <w:r w:rsidR="00D115B4">
        <w:rPr>
          <w:lang w:val="en-US"/>
        </w:rPr>
        <w:instrText xml:space="preserve"> ADDIN ZOTERO_ITEM CSL_CITATION {"citationID":"S7sQKfTU","properties":{"formattedCitation":"\\super 44\\nosupersub{}","plainCitation":"44","noteIndex":0},"citationItems":[{"id":1174,"uris":["http://zotero.org/users/local/oxMpWYo5/items/GWBZ4NJ5"],"uri":["http://zotero.org/users/local/oxMpWYo5/items/GWBZ4NJ5"],"itemData":{"id":1174,"type":"article-journal","abstract":"Gliomas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D115B4" w:rsidRPr="00D115B4">
        <w:rPr>
          <w:rFonts w:ascii="Calibri" w:hAnsi="Calibri" w:cs="Calibri"/>
          <w:szCs w:val="24"/>
          <w:vertAlign w:val="superscript"/>
        </w:rPr>
        <w:t>44</w:t>
      </w:r>
      <w:r>
        <w:rPr>
          <w:lang w:val="en-US"/>
        </w:rPr>
        <w:fldChar w:fldCharType="end"/>
      </w:r>
      <w:r>
        <w:rPr>
          <w:lang w:val="en-US"/>
        </w:rPr>
        <w:t>. Each year, about</w:t>
      </w:r>
      <w:r>
        <w:t xml:space="preserve"> 250 000 individuals are diagnosed with glioma (1.4% of new cancer diagnosis)</w:t>
      </w:r>
      <w:r>
        <w:fldChar w:fldCharType="begin"/>
      </w:r>
      <w:r w:rsidR="00D115B4">
        <w:instrText xml:space="preserve"> ADDIN ZOTERO_ITEM CSL_CITATION {"citationID":"NtsEqRNu","properties":{"formattedCitation":"\\super 45\\nosupersub{}","plainCitation":"45","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D115B4" w:rsidRPr="00D115B4">
        <w:rPr>
          <w:rFonts w:ascii="Calibri" w:hAnsi="Calibri" w:cs="Calibri"/>
          <w:szCs w:val="24"/>
          <w:vertAlign w:val="superscript"/>
        </w:rPr>
        <w:t>45</w:t>
      </w:r>
      <w:r>
        <w:fldChar w:fldCharType="end"/>
      </w:r>
      <w:r>
        <w:t xml:space="preserve">. </w:t>
      </w:r>
      <w:r>
        <w:t xml:space="preserve">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D115B4">
        <w:instrText xml:space="preserve"> ADDIN ZOTERO_ITEM CSL_CITATION {"citationID":"73n75WoX","properties":{"formattedCitation":"\\super 44\\nosupersub{}","plainCitation":"44","noteIndex":0},"citationItems":[{"id":1174,"uris":["http://zotero.org/users/local/oxMpWYo5/items/GWBZ4NJ5"],"uri":["http://zotero.org/users/local/oxMpWYo5/items/GWBZ4NJ5"],"itemData":{"id":1174,"type":"article-journal","abstract":"Gliomas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D115B4" w:rsidRPr="00D115B4">
        <w:rPr>
          <w:rFonts w:ascii="Calibri" w:hAnsi="Calibri" w:cs="Calibri"/>
          <w:szCs w:val="24"/>
          <w:vertAlign w:val="superscript"/>
        </w:rPr>
        <w:t>44</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subtype classification</w:t>
      </w:r>
      <w:r w:rsidR="00351B27">
        <w:t xml:space="preserve"> to </w:t>
      </w:r>
      <w:r w:rsidR="008843B7">
        <w:t>causing</w:t>
      </w:r>
      <w:r w:rsidR="003C06F9">
        <w:t xml:space="preserve"> key driver mutations</w:t>
      </w:r>
      <w:r w:rsidR="003C06F9">
        <w:fldChar w:fldCharType="begin"/>
      </w:r>
      <w:r w:rsidR="00D115B4">
        <w:instrText xml:space="preserve"> ADDIN ZOTERO_ITEM CSL_CITATION {"citationID":"3hcnFYpo","properties":{"formattedCitation":"\\super 46\\nosupersub{}","plainCitation":"46","noteIndex":0},"citationItems":[{"id":1175,"uris":["http://zotero.org/users/local/oxMpWYo5/items/PXYBI2SR"],"uri":["http://zotero.org/users/local/oxMpWYo5/items/PXYBI2SR"],"itemData":{"id":1175,"type":"article-journal","abstract":"Gliomas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D115B4" w:rsidRPr="00D115B4">
        <w:rPr>
          <w:rFonts w:ascii="Calibri" w:hAnsi="Calibri" w:cs="Calibri"/>
          <w:szCs w:val="24"/>
          <w:vertAlign w:val="superscript"/>
        </w:rPr>
        <w:t>46</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6F3114">
        <w:instrText xml:space="preserve"> ADDIN ZOTERO_ITEM CSL_CITATION {"citationID":"vTazrfEh","properties":{"formattedCitation":"\\super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6F3114" w:rsidRPr="000719C9">
        <w:rPr>
          <w:rFonts w:ascii="Calibri" w:hAnsi="Calibri" w:cs="Calibri"/>
          <w:szCs w:val="24"/>
          <w:vertAlign w:val="superscript"/>
        </w:rPr>
        <w:t>43</w:t>
      </w:r>
      <w:r w:rsidR="006F3114">
        <w:fldChar w:fldCharType="end"/>
      </w:r>
      <w:r w:rsidR="006F3114">
        <w:t>, but this is less clear for glioblastoma</w:t>
      </w:r>
      <w:r w:rsidR="006F3114">
        <w:fldChar w:fldCharType="begin"/>
      </w:r>
      <w:r w:rsidR="006F3114">
        <w:instrText xml:space="preserve"> ADDIN ZOTERO_ITEM CSL_CITATION {"citationID":"RquFaFXx","properties":{"formattedCitation":"\\super 47\\nosupersub{}","plainCitation":"47","noteIndex":0},"citationItems":[{"id":1206,"uris":["http://zotero.org/users/local/oxMpWYo5/items/39XNAY7G"],"uri":["http://zotero.org/users/local/oxMpWYo5/items/39XNAY7G"],"itemData":{"id":1206,"type":"article-journal","abstract":"In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6F3114" w:rsidRPr="000719C9">
        <w:rPr>
          <w:rFonts w:ascii="Calibri" w:hAnsi="Calibri" w:cs="Calibri"/>
          <w:szCs w:val="24"/>
          <w:vertAlign w:val="superscript"/>
        </w:rPr>
        <w:t>47</w:t>
      </w:r>
      <w:r w:rsidR="006F3114">
        <w:fldChar w:fldCharType="end"/>
      </w:r>
      <w:r w:rsidR="006F3114">
        <w:t>.</w:t>
      </w:r>
    </w:p>
    <w:p w14:paraId="7D0C89BA" w14:textId="77777777" w:rsidR="00611C8B" w:rsidRDefault="00611C8B" w:rsidP="001C38C5"/>
    <w:p w14:paraId="11F727C9" w14:textId="008048EE"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w:t>
      </w:r>
      <w:r w:rsidR="0075157C">
        <w:t xml:space="preserve"> </w:t>
      </w:r>
      <w:r w:rsidR="0075157C">
        <w:t>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719C9">
        <w:instrText xml:space="preserve"> ADDIN ZOTERO_ITEM CSL_CITATION {"citationID":"C6DsiUgi","properties":{"formattedCitation":"\\super 48\\nosupersub{}","plainCitation":"48","noteIndex":0},"citationItems":[{"id":1180,"uris":["http://zotero.org/users/local/oxMpWYo5/items/4KIFNGL5"],"uri":["http://zotero.org/users/local/oxMpWYo5/items/4KIFNGL5"],"itemData":{"id":1180,"type":"article-journal","abstract":"Blood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719C9" w:rsidRPr="000719C9">
        <w:rPr>
          <w:rFonts w:ascii="Calibri" w:hAnsi="Calibri" w:cs="Calibri"/>
          <w:szCs w:val="24"/>
          <w:vertAlign w:val="superscript"/>
        </w:rPr>
        <w:t>48</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719C9">
        <w:instrText xml:space="preserve"> ADDIN ZOTERO_ITEM CSL_CITATION {"citationID":"wD62tdQy","properties":{"formattedCitation":"\\super 49\\nosupersub{}","plainCitation":"49","noteIndex":0},"citationItems":[{"id":1177,"uris":["http://zotero.org/users/local/oxMpWYo5/items/68TK7K9E"],"uri":["http://zotero.org/users/local/oxMpWYo5/items/68TK7K9E"],"itemData":{"id":1177,"type":"article-journal","abstract":"The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719C9" w:rsidRPr="000719C9">
        <w:rPr>
          <w:rFonts w:ascii="Calibri" w:hAnsi="Calibri" w:cs="Calibri"/>
          <w:szCs w:val="24"/>
          <w:vertAlign w:val="superscript"/>
        </w:rPr>
        <w:t>49</w:t>
      </w:r>
      <w:r w:rsidR="0075157C">
        <w:fldChar w:fldCharType="end"/>
      </w:r>
      <w:r w:rsidR="0075157C">
        <w:t>.</w:t>
      </w:r>
      <w:r w:rsidR="007F5577">
        <w:t xml:space="preserve"> </w:t>
      </w:r>
      <w:r w:rsidR="004532D3">
        <w:t xml:space="preserve">Macrophages are particularly interesting, as </w:t>
      </w:r>
      <w:r w:rsidR="004532D3">
        <w:rPr>
          <w:lang w:val="en-US"/>
        </w:rPr>
        <w:t>u</w:t>
      </w:r>
      <w:r w:rsidR="004532D3">
        <w:rPr>
          <w:lang w:val="en-US"/>
        </w:rPr>
        <w:t>p to 50% of the tumor bulk in glioblastoma is made up of these tumor-associated macrophages (TAMs)</w:t>
      </w:r>
      <w:r w:rsidR="004532D3">
        <w:rPr>
          <w:lang w:val="en-US"/>
        </w:rPr>
        <w:fldChar w:fldCharType="begin"/>
      </w:r>
      <w:r w:rsidR="000719C9">
        <w:rPr>
          <w:lang w:val="en-US"/>
        </w:rPr>
        <w:instrText xml:space="preserve"> ADDIN ZOTERO_ITEM CSL_CITATION {"citationID":"qSNSoqjt","properties":{"formattedCitation":"\\super 50\\nosupersub{}","plainCitation":"50","noteIndex":0},"citationItems":[{"id":888,"uris":["http://zotero.org/users/local/oxMpWYo5/items/QHAP7BJN"],"uri":["http://zotero.org/users/local/oxMpWYo5/items/QHAP7BJN"],"itemData":{"id":888,"type":"article-journal","abstract":"Spinal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719C9" w:rsidRPr="000719C9">
        <w:rPr>
          <w:rFonts w:ascii="Calibri" w:hAnsi="Calibri" w:cs="Calibri"/>
          <w:szCs w:val="24"/>
          <w:vertAlign w:val="superscript"/>
        </w:rPr>
        <w:t>50</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4761229F"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719C9">
        <w:rPr>
          <w:lang w:val="en-US"/>
        </w:rPr>
        <w:instrText xml:space="preserve"> ADDIN ZOTERO_ITEM CSL_CITATION {"citationID":"sFFzR0m9","properties":{"formattedCitation":"\\super 49\\nosupersub{}","plainCitation":"49","noteIndex":0},"citationItems":[{"id":1177,"uris":["http://zotero.org/users/local/oxMpWYo5/items/68TK7K9E"],"uri":["http://zotero.org/users/local/oxMpWYo5/items/68TK7K9E"],"itemData":{"id":1177,"type":"article-journal","abstract":"The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719C9" w:rsidRPr="000719C9">
        <w:rPr>
          <w:rFonts w:ascii="Calibri" w:hAnsi="Calibri" w:cs="Calibri"/>
          <w:szCs w:val="24"/>
          <w:vertAlign w:val="superscript"/>
        </w:rPr>
        <w:t>49</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719C9">
        <w:rPr>
          <w:lang w:val="en-US"/>
        </w:rPr>
        <w:instrText xml:space="preserve"> ADDIN ZOTERO_ITEM CSL_CITATION {"citationID":"JImDX8Bn","properties":{"formattedCitation":"\\super 51,52\\nosupersub{}","plainCitation":"51,52","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719C9" w:rsidRPr="000719C9">
        <w:rPr>
          <w:rFonts w:ascii="Calibri" w:hAnsi="Calibri" w:cs="Calibri"/>
          <w:szCs w:val="24"/>
          <w:vertAlign w:val="superscript"/>
        </w:rPr>
        <w:t>51,52</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719C9">
        <w:rPr>
          <w:lang w:val="en-US"/>
        </w:rPr>
        <w:instrText xml:space="preserve"> ADDIN ZOTERO_ITEM CSL_CITATION {"citationID":"IOzvzK1m","properties":{"formattedCitation":"\\super 53\\nosupersub{}","plainCitation":"53","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719C9" w:rsidRPr="000719C9">
        <w:rPr>
          <w:rFonts w:ascii="Calibri" w:hAnsi="Calibri" w:cs="Calibri"/>
          <w:szCs w:val="24"/>
          <w:vertAlign w:val="superscript"/>
        </w:rPr>
        <w:t>53</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0719C9">
        <w:rPr>
          <w:lang w:val="en-US"/>
        </w:rPr>
        <w:instrText xml:space="preserve"> ADDIN ZOTERO_ITEM CSL_CITATION {"citationID":"wXsqzYtU","properties":{"formattedCitation":"\\super 54\\nosupersub{}","plainCitation":"54","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719C9" w:rsidRPr="000719C9">
        <w:rPr>
          <w:rFonts w:ascii="Calibri" w:hAnsi="Calibri" w:cs="Calibri"/>
          <w:szCs w:val="24"/>
          <w:vertAlign w:val="superscript"/>
        </w:rPr>
        <w:t>54</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719C9">
        <w:rPr>
          <w:lang w:val="en-US"/>
        </w:rPr>
        <w:instrText xml:space="preserve"> ADDIN ZOTERO_ITEM CSL_CITATION {"citationID":"LVJsr0RO","properties":{"formattedCitation":"\\super 55\\nosupersub{}","plainCitation":"55","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719C9" w:rsidRPr="000719C9">
        <w:rPr>
          <w:rFonts w:ascii="Calibri" w:hAnsi="Calibri" w:cs="Calibri"/>
          <w:szCs w:val="24"/>
          <w:vertAlign w:val="superscript"/>
        </w:rPr>
        <w:t>55</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34AF3E77"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719C9">
        <w:rPr>
          <w:lang w:val="en-US"/>
        </w:rPr>
        <w:instrText xml:space="preserve"> ADDIN ZOTERO_ITEM CSL_CITATION {"citationID":"KzudJpHV","properties":{"formattedCitation":"\\super 56\\nosupersub{}","plainCitation":"56","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719C9" w:rsidRPr="000719C9">
        <w:rPr>
          <w:rFonts w:ascii="Calibri" w:hAnsi="Calibri" w:cs="Calibri"/>
          <w:szCs w:val="24"/>
          <w:vertAlign w:val="superscript"/>
        </w:rPr>
        <w:t>56</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719C9">
        <w:rPr>
          <w:lang w:val="en-US"/>
        </w:rPr>
        <w:instrText xml:space="preserve"> ADDIN ZOTERO_ITEM CSL_CITATION {"citationID":"4Wwhg3ev","properties":{"formattedCitation":"\\super 57\\nosupersub{}","plainCitation":"57","noteIndex":0},"citationItems":[{"id":902,"uris":["http://zotero.org/users/local/oxMpWYo5/items/MAKELDEV"],"uri":["http://zotero.org/users/local/oxMpWYo5/items/MAKELDEV"],"itemData":{"id":902,"type":"article-journal","abstract":"Diversity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719C9" w:rsidRPr="000719C9">
        <w:rPr>
          <w:rFonts w:ascii="Calibri" w:hAnsi="Calibri" w:cs="Calibri"/>
          <w:szCs w:val="24"/>
          <w:vertAlign w:val="superscript"/>
        </w:rPr>
        <w:t>57</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0719C9">
        <w:rPr>
          <w:lang w:val="en-US"/>
        </w:rPr>
        <w:instrText xml:space="preserve"> ADDIN ZOTERO_ITEM CSL_CITATION {"citationID":"yubdUAif","properties":{"formattedCitation":"\\super 58\\nosupersub{}","plainCitation":"58","noteIndex":0},"citationItems":[{"id":905,"uris":["http://zotero.org/users/local/oxMpWYo5/items/CFAB8Z7R"],"uri":["http://zotero.org/users/local/oxMpWYo5/items/CFAB8Z7R"],"itemData":{"id":905,"type":"article-journal","abstract":"Macrophages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719C9" w:rsidRPr="000719C9">
        <w:rPr>
          <w:rFonts w:ascii="Calibri" w:hAnsi="Calibri" w:cs="Calibri"/>
          <w:szCs w:val="24"/>
          <w:vertAlign w:val="superscript"/>
        </w:rPr>
        <w:t>58</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719C9">
        <w:rPr>
          <w:lang w:val="en-US"/>
        </w:rPr>
        <w:instrText xml:space="preserve"> ADDIN ZOTERO_ITEM CSL_CITATION {"citationID":"qutaUqqQ","properties":{"formattedCitation":"\\super 57\\nosupersub{}","plainCitation":"57","noteIndex":0},"citationItems":[{"id":902,"uris":["http://zotero.org/users/local/oxMpWYo5/items/MAKELDEV"],"uri":["http://zotero.org/users/local/oxMpWYo5/items/MAKELDEV"],"itemData":{"id":902,"type":"article-journal","abstract":"Diversity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719C9" w:rsidRPr="000719C9">
        <w:rPr>
          <w:rFonts w:ascii="Calibri" w:hAnsi="Calibri" w:cs="Calibri"/>
          <w:szCs w:val="24"/>
          <w:vertAlign w:val="superscript"/>
        </w:rPr>
        <w:t>57</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719C9">
        <w:rPr>
          <w:lang w:val="en-US"/>
        </w:rPr>
        <w:instrText xml:space="preserve"> ADDIN ZOTERO_ITEM CSL_CITATION {"citationID":"4VgXidLV","properties":{"formattedCitation":"\\super 59\\nosupersub{}","plainCitation":"59","noteIndex":0},"citationItems":[{"id":921,"uris":["http://zotero.org/users/local/oxMpWYo5/items/BMR7RSR4"],"uri":["http://zotero.org/users/local/oxMpWYo5/items/BMR7RSR4"],"itemData":{"id":921,"type":"article-journal","abstract":"It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719C9" w:rsidRPr="000719C9">
        <w:rPr>
          <w:rFonts w:ascii="Calibri" w:hAnsi="Calibri" w:cs="Calibri"/>
          <w:szCs w:val="24"/>
          <w:vertAlign w:val="superscript"/>
        </w:rPr>
        <w:t>59</w:t>
      </w:r>
      <w:r w:rsidR="00C07D05">
        <w:rPr>
          <w:lang w:val="en-US"/>
        </w:rPr>
        <w:fldChar w:fldCharType="end"/>
      </w:r>
      <w:r w:rsidR="007510F9">
        <w:rPr>
          <w:lang w:val="en-US"/>
        </w:rPr>
        <w:t>.</w:t>
      </w:r>
      <w:r w:rsidR="00002BA4">
        <w:rPr>
          <w:lang w:val="en-US"/>
        </w:rPr>
        <w:t xml:space="preserve"> </w:t>
      </w:r>
      <w:r w:rsidR="007510F9">
        <w:rPr>
          <w:lang w:val="en-US"/>
        </w:rPr>
        <w:lastRenderedPageBreak/>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719C9">
        <w:rPr>
          <w:lang w:val="en-US"/>
        </w:rPr>
        <w:instrText xml:space="preserve"> ADDIN ZOTERO_ITEM CSL_CITATION {"citationID":"psX2tf0o","properties":{"formattedCitation":"\\super 60\\nosupersub{}","plainCitation":"60","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719C9" w:rsidRPr="000719C9">
        <w:rPr>
          <w:rFonts w:ascii="Calibri" w:hAnsi="Calibri" w:cs="Calibri"/>
          <w:szCs w:val="24"/>
          <w:vertAlign w:val="superscript"/>
        </w:rPr>
        <w:t>60</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675A61FE"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719C9">
        <w:rPr>
          <w:lang w:val="en-US"/>
        </w:rPr>
        <w:instrText xml:space="preserve"> ADDIN ZOTERO_ITEM CSL_CITATION {"citationID":"6nbVRMgE","properties":{"formattedCitation":"\\super 61\\nosupersub{}","plainCitation":"61","noteIndex":0},"citationItems":[{"id":1120,"uris":["http://zotero.org/users/local/oxMpWYo5/items/PK72DMSK"],"uri":["http://zotero.org/users/local/oxMpWYo5/items/PK72DMSK"],"itemData":{"id":1120,"type":"article-journal","abstract":"CD45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719C9" w:rsidRPr="000719C9">
        <w:rPr>
          <w:rFonts w:ascii="Calibri" w:hAnsi="Calibri" w:cs="Calibri"/>
          <w:szCs w:val="24"/>
          <w:vertAlign w:val="superscript"/>
        </w:rPr>
        <w:t>61</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719C9">
        <w:rPr>
          <w:lang w:val="en-US"/>
        </w:rPr>
        <w:instrText xml:space="preserve"> ADDIN ZOTERO_ITEM CSL_CITATION {"citationID":"5NIzRrFl","properties":{"formattedCitation":"\\super 62\\nosupersub{}","plainCitation":"62","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719C9" w:rsidRPr="000719C9">
        <w:rPr>
          <w:rFonts w:ascii="Calibri" w:hAnsi="Calibri" w:cs="Calibri"/>
          <w:szCs w:val="24"/>
          <w:vertAlign w:val="superscript"/>
        </w:rPr>
        <w:t>62</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719C9">
        <w:rPr>
          <w:lang w:val="en-US"/>
        </w:rPr>
        <w:instrText xml:space="preserve"> ADDIN ZOTERO_ITEM CSL_CITATION {"citationID":"GauxuqNQ","properties":{"formattedCitation":"\\super 63\\nosupersub{}","plainCitation":"63","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719C9" w:rsidRPr="000719C9">
        <w:rPr>
          <w:rFonts w:ascii="Calibri" w:hAnsi="Calibri" w:cs="Calibri"/>
          <w:szCs w:val="24"/>
          <w:vertAlign w:val="superscript"/>
        </w:rPr>
        <w:t>63</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7F765CFC"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719C9">
        <w:rPr>
          <w:lang w:val="en-US"/>
        </w:rPr>
        <w:instrText xml:space="preserve"> ADDIN ZOTERO_ITEM CSL_CITATION {"citationID":"0PyyRsGx","properties":{"formattedCitation":"\\super 64\\nosupersub{}","plainCitation":"64","noteIndex":0},"citationItems":[{"id":873,"uris":["http://zotero.org/users/local/oxMpWYo5/items/PUMWLH63"],"uri":["http://zotero.org/users/local/oxMpWYo5/items/PUMWLH63"],"itemData":{"id":873,"type":"article-journal","abstract":"The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64</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t>Quantifying methylation</w:t>
      </w:r>
      <w:bookmarkEnd w:id="17"/>
    </w:p>
    <w:p w14:paraId="7BC7FA90" w14:textId="1ECE3A0F"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w:t>
      </w:r>
      <w:r w:rsidR="00097832">
        <w:rPr>
          <w:lang w:val="en-US"/>
        </w:rPr>
        <w:lastRenderedPageBreak/>
        <w:t xml:space="preserve">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719C9">
        <w:rPr>
          <w:lang w:val="en-US"/>
        </w:rPr>
        <w:instrText xml:space="preserve"> ADDIN ZOTERO_ITEM CSL_CITATION {"citationID":"3V2thpNM","properties":{"formattedCitation":"\\super 65\\nosupersub{}","plainCitation":"65","noteIndex":0},"citationItems":[{"id":1011,"uris":["http://zotero.org/users/local/oxMpWYo5/items/DB6GMWCC"],"uri":["http://zotero.org/users/local/oxMpWYo5/items/DB6GMWCC"],"itemData":{"id":1011,"type":"article-journal","abstract":"In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719C9" w:rsidRPr="000719C9">
        <w:rPr>
          <w:rFonts w:ascii="Calibri" w:hAnsi="Calibri" w:cs="Calibri"/>
          <w:szCs w:val="24"/>
          <w:vertAlign w:val="superscript"/>
        </w:rPr>
        <w:t>65</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18F7B7BB"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719C9">
        <w:rPr>
          <w:lang w:val="en-US"/>
        </w:rPr>
        <w:instrText xml:space="preserve"> ADDIN ZOTERO_ITEM CSL_CITATION {"citationID":"sfuFQIyE","properties":{"formattedCitation":"\\super 65\\nosupersub{}","plainCitation":"65","noteIndex":0},"citationItems":[{"id":1011,"uris":["http://zotero.org/users/local/oxMpWYo5/items/DB6GMWCC"],"uri":["http://zotero.org/users/local/oxMpWYo5/items/DB6GMWCC"],"itemData":{"id":1011,"type":"article-journal","abstract":"In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719C9" w:rsidRPr="000719C9">
        <w:rPr>
          <w:rFonts w:ascii="Calibri" w:hAnsi="Calibri" w:cs="Calibri"/>
          <w:szCs w:val="24"/>
          <w:vertAlign w:val="superscript"/>
        </w:rPr>
        <w:t>65</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719C9">
        <w:rPr>
          <w:lang w:val="en-US"/>
        </w:rPr>
        <w:instrText xml:space="preserve"> ADDIN ZOTERO_ITEM CSL_CITATION {"citationID":"zZznAA3j","properties":{"formattedCitation":"\\super 66\\nosupersub{}","plainCitation":"66","noteIndex":0},"citationItems":[{"id":1050,"uris":["http://zotero.org/users/local/oxMpWYo5/items/CQRLQRLN"],"uri":["http://zotero.org/users/local/oxMpWYo5/items/CQRLQRLN"],"itemData":{"id":1050,"type":"article-journal","abstract":"In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719C9" w:rsidRPr="000719C9">
        <w:rPr>
          <w:rFonts w:ascii="Calibri" w:hAnsi="Calibri" w:cs="Calibri"/>
          <w:szCs w:val="24"/>
          <w:vertAlign w:val="superscript"/>
        </w:rPr>
        <w:t>66</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D7DBBCF"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719C9">
        <w:rPr>
          <w:lang w:val="en-US"/>
        </w:rPr>
        <w:instrText xml:space="preserve"> ADDIN ZOTERO_ITEM CSL_CITATION {"citationID":"JyTEyB0p","properties":{"formattedCitation":"\\super 65\\nosupersub{}","plainCitation":"65","noteIndex":0},"citationItems":[{"id":1011,"uris":["http://zotero.org/users/local/oxMpWYo5/items/DB6GMWCC"],"uri":["http://zotero.org/users/local/oxMpWYo5/items/DB6GMWCC"],"itemData":{"id":1011,"type":"article-journal","abstract":"In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719C9" w:rsidRPr="000719C9">
        <w:rPr>
          <w:rFonts w:ascii="Calibri" w:hAnsi="Calibri" w:cs="Calibri"/>
          <w:szCs w:val="24"/>
          <w:vertAlign w:val="superscript"/>
        </w:rPr>
        <w:t>65</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719C9">
        <w:rPr>
          <w:lang w:val="en-US"/>
        </w:rPr>
        <w:instrText xml:space="preserve"> ADDIN ZOTERO_ITEM CSL_CITATION {"citationID":"mD0mjp7T","properties":{"formattedCitation":"\\super 67\\nosupersub{}","plainCitation":"67","noteIndex":0},"citationItems":[{"id":1014,"uris":["http://zotero.org/users/local/oxMpWYo5/items/U7V9YXBP"],"uri":["http://zotero.org/users/local/oxMpWYo5/items/U7V9YXBP"],"itemData":{"id":1014,"type":"article-journal","abstract":"DNA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719C9" w:rsidRPr="000719C9">
        <w:rPr>
          <w:rFonts w:ascii="Calibri" w:hAnsi="Calibri" w:cs="Calibri"/>
          <w:szCs w:val="24"/>
          <w:vertAlign w:val="superscript"/>
        </w:rPr>
        <w:t>67</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719C9">
        <w:rPr>
          <w:lang w:val="en-US"/>
        </w:rPr>
        <w:instrText xml:space="preserve"> ADDIN ZOTERO_ITEM CSL_CITATION {"citationID":"dz03fcpC","properties":{"formattedCitation":"\\super 68\\nosupersub{}","plainCitation":"68","noteIndex":0},"citationItems":[{"id":1003,"uris":["http://zotero.org/users/local/oxMpWYo5/items/AB26XYGU"],"uri":["http://zotero.org/users/local/oxMpWYo5/items/AB26XYGU"],"itemData":{"id":1003,"type":"article-journal","abstract":"Whole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719C9" w:rsidRPr="000719C9">
        <w:rPr>
          <w:rFonts w:ascii="Calibri" w:hAnsi="Calibri" w:cs="Calibri"/>
          <w:szCs w:val="24"/>
          <w:vertAlign w:val="superscript"/>
        </w:rPr>
        <w:t>68</w:t>
      </w:r>
      <w:r w:rsidR="008279FB">
        <w:rPr>
          <w:lang w:val="en-US"/>
        </w:rPr>
        <w:fldChar w:fldCharType="end"/>
      </w:r>
      <w:r w:rsidR="008279FB">
        <w:rPr>
          <w:lang w:val="en-US"/>
        </w:rPr>
        <w:t>, so a coverage of at least 30x is recommended.</w:t>
      </w:r>
      <w:r w:rsidR="00F62903">
        <w:rPr>
          <w:lang w:val="en-US"/>
        </w:rPr>
        <w:t xml:space="preserve"> </w:t>
      </w:r>
    </w:p>
    <w:p w14:paraId="0CF76751" w14:textId="45323607"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719C9">
        <w:rPr>
          <w:lang w:val="en-US"/>
        </w:rPr>
        <w:instrText xml:space="preserve"> ADDIN ZOTERO_ITEM CSL_CITATION {"citationID":"CImEhtdh","properties":{"formattedCitation":"\\super 69\\nosupersub{}","plainCitation":"69","noteIndex":0},"citationItems":[{"id":1017,"uris":["http://zotero.org/users/local/oxMpWYo5/items/9XJ8I2ZE"],"uri":["http://zotero.org/users/local/oxMpWYo5/items/9XJ8I2ZE"],"itemData":{"id":1017,"type":"article-journal","abstract":"Single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719C9" w:rsidRPr="000719C9">
        <w:rPr>
          <w:rFonts w:ascii="Calibri" w:hAnsi="Calibri" w:cs="Calibri"/>
          <w:szCs w:val="24"/>
          <w:vertAlign w:val="superscript"/>
        </w:rPr>
        <w:t>69</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w:t>
      </w:r>
      <w:r w:rsidR="002F7B56">
        <w:rPr>
          <w:lang w:val="en-US"/>
        </w:rPr>
        <w:t xml:space="preserve"> breast cancer</w:t>
      </w:r>
      <w:r w:rsidR="002F7B56">
        <w:rPr>
          <w:lang w:val="en-US"/>
        </w:rPr>
        <w:fldChar w:fldCharType="begin"/>
      </w:r>
      <w:r w:rsidR="00DC674A">
        <w:rPr>
          <w:lang w:val="en-US"/>
        </w:rPr>
        <w:instrText xml:space="preserve"> ADDIN ZOTERO_ITEM CSL_CITATION {"citationID":"NYBv4Qt8","properties":{"formattedCitation":"\\super 42\\nosupersub{}","plainCitation":"42","noteIndex":0},"citationItems":[{"id":1020,"uris":["http://zotero.org/users/local/oxMpWYo5/items/QNNI3AJB"],"uri":["http://zotero.org/users/local/oxMpWYo5/items/QNNI3AJB"],"itemData":{"id":1020,"type":"article-journal","abstract":"To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674A" w:rsidRPr="00DC674A">
        <w:rPr>
          <w:rFonts w:ascii="Calibri" w:hAnsi="Calibri" w:cs="Calibri"/>
          <w:szCs w:val="24"/>
          <w:vertAlign w:val="superscript"/>
        </w:rPr>
        <w:t>42</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1BE85D3C"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719C9">
        <w:rPr>
          <w:lang w:val="en-US"/>
        </w:rPr>
        <w:instrText xml:space="preserve"> ADDIN ZOTERO_ITEM CSL_CITATION {"citationID":"5wU3k4ec","properties":{"formattedCitation":"\\super 70\\nosupersub{}","plainCitation":"70","noteIndex":0},"citationItems":[{"id":1023,"uris":["http://zotero.org/users/local/oxMpWYo5/items/KLZSE5RE"],"uri":["http://zotero.org/users/local/oxMpWYo5/items/KLZSE5RE"],"itemData":{"id":1023,"type":"article-journal","abstract":"We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719C9" w:rsidRPr="000719C9">
        <w:rPr>
          <w:rFonts w:ascii="Calibri" w:hAnsi="Calibri" w:cs="Calibri"/>
          <w:szCs w:val="24"/>
          <w:vertAlign w:val="superscript"/>
        </w:rPr>
        <w:t>70</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604F7873" w:rsidR="00355BF3" w:rsidRDefault="00026A82" w:rsidP="00C244F5">
      <w:pPr>
        <w:jc w:val="both"/>
        <w:rPr>
          <w:color w:val="000000"/>
          <w:shd w:val="clear" w:color="auto" w:fill="FFFFFF"/>
        </w:rPr>
      </w:pPr>
      <w:r>
        <w:rPr>
          <w:color w:val="000000"/>
          <w:shd w:val="clear" w:color="auto" w:fill="FFFFFF"/>
        </w:rPr>
        <w:lastRenderedPageBreak/>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719C9">
        <w:rPr>
          <w:color w:val="000000"/>
          <w:shd w:val="clear" w:color="auto" w:fill="FFFFFF"/>
        </w:rPr>
        <w:instrText xml:space="preserve"> ADDIN ZOTERO_ITEM CSL_CITATION {"citationID":"efzef2aT","properties":{"formattedCitation":"\\super 71\\nosupersub{}","plainCitation":"71","noteIndex":0},"citationItems":[{"id":1026,"uris":["http://zotero.org/users/local/oxMpWYo5/items/PJNIB6EL"],"uri":["http://zotero.org/users/local/oxMpWYo5/items/PJNIB6EL"],"itemData":{"id":1026,"type":"article-journal","abstract":"The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719C9" w:rsidRPr="000719C9">
        <w:rPr>
          <w:rFonts w:ascii="Calibri" w:hAnsi="Calibri" w:cs="Calibri"/>
          <w:szCs w:val="24"/>
          <w:vertAlign w:val="superscript"/>
        </w:rPr>
        <w:t>71</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 and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2A0BF5">
        <w:rPr>
          <w:color w:val="000000"/>
          <w:shd w:val="clear" w:color="auto" w:fill="FFFFFF"/>
        </w:rPr>
        <w:t xml:space="preserve"> </w:t>
      </w:r>
    </w:p>
    <w:p w14:paraId="4FBB2CE3" w14:textId="628361F6" w:rsidR="006D726D" w:rsidRDefault="006D726D" w:rsidP="005206DF">
      <w:pPr>
        <w:jc w:val="both"/>
        <w:rPr>
          <w:lang w:val="en-US"/>
        </w:rPr>
      </w:pPr>
    </w:p>
    <w:p w14:paraId="6551FD58" w14:textId="43F4230F"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p>
    <w:p w14:paraId="4BB5267C" w14:textId="45D7FB23" w:rsidR="0006230A" w:rsidRDefault="00CB7540" w:rsidP="005206DF">
      <w:pPr>
        <w:jc w:val="both"/>
        <w:rPr>
          <w:lang w:val="en-US"/>
        </w:rPr>
      </w:pPr>
      <w:r>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0719C9">
        <w:rPr>
          <w:lang w:val="en-US"/>
        </w:rPr>
        <w:instrText xml:space="preserve"> ADDIN ZOTERO_ITEM CSL_CITATION {"citationID":"REvnoaX0","properties":{"formattedCitation":"\\super 72\\nosupersub{}","plainCitation":"72","noteIndex":0},"citationItems":[{"id":1035,"uris":["http://zotero.org/users/local/oxMpWYo5/items/2TXL3VJN"],"uri":["http://zotero.org/users/local/oxMpWYo5/items/2TXL3VJN"],"itemData":{"id":1035,"type":"article-journal","abstract":"We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0719C9" w:rsidRPr="000719C9">
        <w:rPr>
          <w:rFonts w:ascii="Calibri" w:hAnsi="Calibri" w:cs="Calibri"/>
          <w:szCs w:val="24"/>
          <w:vertAlign w:val="superscript"/>
        </w:rPr>
        <w:t>72</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76742EA8"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0719C9">
        <w:rPr>
          <w:i/>
          <w:iCs/>
          <w:lang w:val="en-US"/>
        </w:rPr>
        <w:instrText xml:space="preserve"> ADDIN ZOTERO_ITEM CSL_CITATION {"citationID":"Ywpoi0sf","properties":{"formattedCitation":"\\super 73\\nosupersub{}","plainCitation":"73","noteIndex":0},"citationItems":[{"id":795,"uris":["http://zotero.org/users/local/oxMpWYo5/items/99IQ8H3U"],"uri":["http://zotero.org/users/local/oxMpWYo5/items/99IQ8H3U"],"itemData":{"id":795,"type":"webpage","title":"Methrix: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0719C9" w:rsidRPr="000719C9">
        <w:rPr>
          <w:rFonts w:ascii="Calibri" w:hAnsi="Calibri" w:cs="Calibri"/>
          <w:szCs w:val="24"/>
          <w:vertAlign w:val="superscript"/>
        </w:rPr>
        <w:t>73</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602F67">
        <w:rPr>
          <w:i/>
          <w:iCs/>
          <w:lang w:val="en-US"/>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lastRenderedPageBreak/>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35E49B06" w:rsidR="005D7692" w:rsidRDefault="005D7692" w:rsidP="005D7692">
      <w:pPr>
        <w:jc w:val="both"/>
        <w:rPr>
          <w:lang w:val="en-US"/>
        </w:rPr>
      </w:pPr>
      <w:r>
        <w:rPr>
          <w:lang w:val="en-US"/>
        </w:rPr>
        <w:t xml:space="preserve">The </w:t>
      </w:r>
      <w:proofErr w:type="spellStart"/>
      <w:r w:rsidRPr="00CF17E9">
        <w:rPr>
          <w:i/>
          <w:iCs/>
          <w:lang w:val="en-US"/>
        </w:rPr>
        <w:t>scMethrix</w:t>
      </w:r>
      <w:proofErr w:type="spellEnd"/>
      <w:r>
        <w:rPr>
          <w:lang w:val="en-US"/>
        </w:rPr>
        <w:t xml:space="preserve"> experiment object extends the </w:t>
      </w:r>
      <w:proofErr w:type="spellStart"/>
      <w:r w:rsidRPr="00A52425">
        <w:rPr>
          <w:i/>
          <w:iCs/>
          <w:lang w:val="en-US"/>
        </w:rPr>
        <w:t>SingleCellExperiment</w:t>
      </w:r>
      <w:proofErr w:type="spellEnd"/>
      <w:r>
        <w:rPr>
          <w:lang w:val="en-US"/>
        </w:rPr>
        <w:fldChar w:fldCharType="begin"/>
      </w:r>
      <w:r w:rsidR="000719C9">
        <w:rPr>
          <w:lang w:val="en-US"/>
        </w:rPr>
        <w:instrText xml:space="preserve"> ADDIN ZOTERO_ITEM CSL_CITATION {"citationID":"oQhqnxxF","properties":{"formattedCitation":"\\super 74\\nosupersub{}","plainCitation":"74","noteIndex":0},"citationItems":[{"id":953,"uris":["http://zotero.org/users/local/oxMpWYo5/items/FL39LCC2"],"uri":["http://zotero.org/users/local/oxMpWYo5/items/FL39LCC2"],"itemData":{"id":953,"type":"article-journal","abstract":"Recent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74</w:t>
      </w:r>
      <w:r>
        <w:rPr>
          <w:lang w:val="en-US"/>
        </w:rPr>
        <w:fldChar w:fldCharType="end"/>
      </w:r>
      <w:r>
        <w:rPr>
          <w:lang w:val="en-US"/>
        </w:rPr>
        <w:t xml:space="preserve"> container and will interface with many other packages in the Bioconductor ecosystem. It largely uses the </w:t>
      </w:r>
      <w:proofErr w:type="spellStart"/>
      <w:r w:rsidRPr="00EE3CD9">
        <w:rPr>
          <w:i/>
          <w:iCs/>
          <w:lang w:val="en-US"/>
        </w:rPr>
        <w:t>data.table</w:t>
      </w:r>
      <w:proofErr w:type="spellEnd"/>
      <w:r>
        <w:rPr>
          <w:lang w:val="en-US"/>
        </w:rPr>
        <w:fldChar w:fldCharType="begin"/>
      </w:r>
      <w:r w:rsidR="000719C9">
        <w:rPr>
          <w:lang w:val="en-US"/>
        </w:rPr>
        <w:instrText xml:space="preserve"> ADDIN ZOTERO_ITEM CSL_CITATION {"citationID":"AwwOuB3s","properties":{"formattedCitation":"\\super 75\\nosupersub{}","plainCitation":"75","noteIndex":0},"citationItems":[{"id":973,"uris":["http://zotero.org/users/local/oxMpWYo5/items/ZDMML74S"],"uri":["http://zotero.org/users/local/oxMpWYo5/items/ZDMML74S"],"itemData":{"id":973,"type":"book","abstract":"Fast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75</w:t>
      </w:r>
      <w:r>
        <w:rPr>
          <w:lang w:val="en-US"/>
        </w:rPr>
        <w:fldChar w:fldCharType="end"/>
      </w:r>
      <w:r>
        <w:rPr>
          <w:lang w:val="en-US"/>
        </w:rPr>
        <w:t xml:space="preserve"> and </w:t>
      </w:r>
      <w:proofErr w:type="spellStart"/>
      <w:r w:rsidRPr="001D583F">
        <w:rPr>
          <w:i/>
          <w:iCs/>
          <w:lang w:val="en-US"/>
        </w:rPr>
        <w:t>DelayedMatrixStats</w:t>
      </w:r>
      <w:proofErr w:type="spellEnd"/>
      <w:r>
        <w:rPr>
          <w:i/>
          <w:iCs/>
          <w:lang w:val="en-US"/>
        </w:rPr>
        <w:fldChar w:fldCharType="begin"/>
      </w:r>
      <w:r w:rsidR="000719C9">
        <w:rPr>
          <w:i/>
          <w:iCs/>
          <w:lang w:val="en-US"/>
        </w:rPr>
        <w:instrText xml:space="preserve"> ADDIN ZOTERO_ITEM CSL_CITATION {"citationID":"Kt4Bf7MO","properties":{"formattedCitation":"\\super 76\\nosupersub{}","plainCitation":"76","noteIndex":0},"citationItems":[{"id":975,"uris":["http://zotero.org/users/local/oxMpWYo5/items/XQX2XRJ9"],"uri":["http://zotero.org/users/local/oxMpWYo5/items/XQX2XRJ9"],"itemData":{"id":975,"type":"book","abstract":"A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0719C9" w:rsidRPr="000719C9">
        <w:rPr>
          <w:rFonts w:ascii="Calibri" w:hAnsi="Calibri" w:cs="Calibri"/>
          <w:szCs w:val="24"/>
          <w:vertAlign w:val="superscript"/>
        </w:rPr>
        <w:t>76</w:t>
      </w:r>
      <w:r>
        <w:rPr>
          <w:i/>
          <w:iCs/>
          <w:lang w:val="en-US"/>
        </w:rPr>
        <w:fldChar w:fldCharType="end"/>
      </w:r>
      <w:r>
        <w:rPr>
          <w:lang w:val="en-US"/>
        </w:rPr>
        <w:t xml:space="preserve"> R packages for quick and efficient operations. </w:t>
      </w:r>
    </w:p>
    <w:p w14:paraId="3270205C" w14:textId="001EE8D4" w:rsidR="005D7692" w:rsidRDefault="005D7692" w:rsidP="005D7692">
      <w:pPr>
        <w:jc w:val="both"/>
        <w:rPr>
          <w:lang w:val="en-US"/>
        </w:rPr>
      </w:pPr>
      <w:r>
        <w:rPr>
          <w:lang w:val="en-US"/>
        </w:rPr>
        <w:t>As this is an S4 object</w:t>
      </w:r>
      <w:r>
        <w:rPr>
          <w:lang w:val="en-US"/>
        </w:rPr>
        <w:fldChar w:fldCharType="begin"/>
      </w:r>
      <w:r w:rsidR="000719C9">
        <w:rPr>
          <w:lang w:val="en-US"/>
        </w:rPr>
        <w:instrText xml:space="preserve"> ADDIN ZOTERO_ITEM CSL_CITATION {"citationID":"CCGlSjzy","properties":{"formattedCitation":"\\super 77\\nosupersub{}","plainCitation":"77","noteIndex":0},"citationItems":[{"id":976,"uris":["http://zotero.org/users/local/oxMpWYo5/items/5UR4SWH5"],"uri":["http://zotero.org/users/local/oxMpWYo5/items/5UR4SWH5"],"itemData":{"id":976,"type":"article-journal","abstract":"This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77</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E63C2C">
        <w:rPr>
          <w:i/>
          <w:iCs/>
          <w:lang w:val="en-US"/>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116A4072" w:rsidR="005D7692" w:rsidRPr="00D43881" w:rsidRDefault="005D7692" w:rsidP="005D7692">
      <w:pPr>
        <w:jc w:val="both"/>
        <w:rPr>
          <w:lang w:val="en-US"/>
        </w:rPr>
      </w:pPr>
      <w:r w:rsidRPr="00C11608">
        <w:rPr>
          <w:b/>
          <w:bCs/>
          <w:lang w:val="en-US"/>
        </w:rPr>
        <w:t xml:space="preserve">Data input: </w:t>
      </w:r>
      <w:proofErr w:type="spellStart"/>
      <w:r>
        <w:rPr>
          <w:lang w:val="en-US"/>
        </w:rPr>
        <w:t>scMethrix</w:t>
      </w:r>
      <w:proofErr w:type="spellEnd"/>
      <w:r>
        <w:rPr>
          <w:lang w:val="en-US"/>
        </w:rPr>
        <w:t xml:space="preserve"> imports </w:t>
      </w:r>
      <w:proofErr w:type="spellStart"/>
      <w:r>
        <w:rPr>
          <w:lang w:val="en-US"/>
        </w:rPr>
        <w:t>BedGraph</w:t>
      </w:r>
      <w:proofErr w:type="spellEnd"/>
      <w:r>
        <w:rPr>
          <w:lang w:val="en-US"/>
        </w:rPr>
        <w:t xml:space="preserve">-based file formats via the </w:t>
      </w:r>
      <w:proofErr w:type="spellStart"/>
      <w:r w:rsidRPr="00CF2EAB">
        <w:rPr>
          <w:i/>
          <w:iCs/>
          <w:lang w:val="en-US"/>
        </w:rPr>
        <w:t>read_beds</w:t>
      </w:r>
      <w:proofErr w:type="spellEnd"/>
      <w:r w:rsidRPr="00CF2EAB">
        <w:rPr>
          <w:i/>
          <w:iCs/>
          <w:lang w:val="en-US"/>
        </w:rPr>
        <w:t>()</w:t>
      </w:r>
      <w:r>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Pr>
          <w:lang w:val="en-US"/>
        </w:rPr>
        <w:t>Bismark</w:t>
      </w:r>
      <w:proofErr w:type="spellEnd"/>
      <w:r>
        <w:rPr>
          <w:lang w:val="en-US"/>
        </w:rPr>
        <w:fldChar w:fldCharType="begin"/>
      </w:r>
      <w:r w:rsidR="000719C9">
        <w:rPr>
          <w:lang w:val="en-US"/>
        </w:rPr>
        <w:instrText xml:space="preserve"> ADDIN ZOTERO_ITEM CSL_CITATION {"citationID":"4BwEwL25","properties":{"formattedCitation":"\\super 78\\nosupersub{}","plainCitation":"78","noteIndex":0},"citationItems":[{"id":958,"uris":["http://zotero.org/users/local/oxMpWYo5/items/EBTQC82J"],"uri":["http://zotero.org/users/local/oxMpWYo5/items/EBTQC82J"],"itemData":{"id":958,"type":"article-journal","abstract":"SUMMARY: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78</w:t>
      </w:r>
      <w:r>
        <w:rPr>
          <w:lang w:val="en-US"/>
        </w:rPr>
        <w:fldChar w:fldCharType="end"/>
      </w:r>
      <w:r>
        <w:rPr>
          <w:lang w:val="en-US"/>
        </w:rPr>
        <w:t xml:space="preserve">, </w:t>
      </w:r>
      <w:proofErr w:type="spellStart"/>
      <w:r w:rsidRPr="0089171A">
        <w:rPr>
          <w:lang w:val="en-US"/>
        </w:rPr>
        <w:t>MethylDackel</w:t>
      </w:r>
      <w:proofErr w:type="spellEnd"/>
      <w:r>
        <w:rPr>
          <w:lang w:val="en-US"/>
        </w:rPr>
        <w:fldChar w:fldCharType="begin"/>
      </w:r>
      <w:r w:rsidR="000719C9">
        <w:rPr>
          <w:lang w:val="en-US"/>
        </w:rPr>
        <w:instrText xml:space="preserve"> ADDIN ZOTERO_ITEM CSL_CITATION {"citationID":"DBKPQJKG","properties":{"formattedCitation":"\\super 79\\nosupersub{}","plainCitation":"79","noteIndex":0},"citationItems":[{"id":961,"uris":["http://zotero.org/users/local/oxMpWYo5/items/5QFQZYAT"],"uri":["http://zotero.org/users/local/oxMpWYo5/items/5QFQZYAT"],"itemData":{"id":961,"type":"book","abstract":"A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79</w:t>
      </w:r>
      <w:r>
        <w:rPr>
          <w:lang w:val="en-US"/>
        </w:rPr>
        <w:fldChar w:fldCharType="end"/>
      </w:r>
      <w:r>
        <w:rPr>
          <w:lang w:val="en-US"/>
        </w:rPr>
        <w:t xml:space="preserve">, </w:t>
      </w:r>
      <w:proofErr w:type="spellStart"/>
      <w:r>
        <w:rPr>
          <w:lang w:val="en-US"/>
        </w:rPr>
        <w:t>methylCtools</w:t>
      </w:r>
      <w:proofErr w:type="spellEnd"/>
      <w:r>
        <w:rPr>
          <w:lang w:val="en-US"/>
        </w:rPr>
        <w:fldChar w:fldCharType="begin"/>
      </w:r>
      <w:r w:rsidR="000719C9">
        <w:rPr>
          <w:lang w:val="en-US"/>
        </w:rPr>
        <w:instrText xml:space="preserve"> ADDIN ZOTERO_ITEM CSL_CITATION {"citationID":"7DgdIvgl","properties":{"formattedCitation":"\\super 80\\nosupersub{}","plainCitation":"80","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80</w:t>
      </w:r>
      <w:r>
        <w:rPr>
          <w:lang w:val="en-US"/>
        </w:rPr>
        <w:fldChar w:fldCharType="end"/>
      </w:r>
      <w:r>
        <w:rPr>
          <w:lang w:val="en-US"/>
        </w:rPr>
        <w:t xml:space="preserve">, </w:t>
      </w:r>
      <w:proofErr w:type="spellStart"/>
      <w:r w:rsidRPr="001C2B5C">
        <w:rPr>
          <w:lang w:val="en-US"/>
        </w:rPr>
        <w:t>BisSNP</w:t>
      </w:r>
      <w:proofErr w:type="spellEnd"/>
      <w:r>
        <w:rPr>
          <w:lang w:val="en-US"/>
        </w:rPr>
        <w:fldChar w:fldCharType="begin"/>
      </w:r>
      <w:r w:rsidR="000719C9">
        <w:rPr>
          <w:lang w:val="en-US"/>
        </w:rPr>
        <w:instrText xml:space="preserve"> ADDIN ZOTERO_ITEM CSL_CITATION {"citationID":"3dFcolBB","properties":{"formattedCitation":"\\super 81\\nosupersub{}","plainCitation":"81","noteIndex":0},"citationItems":[{"id":965,"uris":["http://zotero.org/users/local/oxMpWYo5/items/SILC7L7H"],"uri":["http://zotero.org/users/local/oxMpWYo5/items/SILC7L7H"],"itemData":{"id":965,"type":"webpage","title":"Bis-SNP: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81</w:t>
      </w:r>
      <w:r>
        <w:rPr>
          <w:lang w:val="en-US"/>
        </w:rPr>
        <w:fldChar w:fldCharType="end"/>
      </w:r>
      <w:r>
        <w:rPr>
          <w:lang w:val="en-US"/>
        </w:rPr>
        <w:t xml:space="preserve">, and </w:t>
      </w:r>
      <w:r w:rsidRPr="001C2B5C">
        <w:rPr>
          <w:lang w:val="en-US"/>
        </w:rPr>
        <w:t>BS-Seeker2</w:t>
      </w:r>
      <w:r>
        <w:rPr>
          <w:lang w:val="en-US"/>
        </w:rPr>
        <w:fldChar w:fldCharType="begin"/>
      </w:r>
      <w:r w:rsidR="000719C9">
        <w:rPr>
          <w:lang w:val="en-US"/>
        </w:rPr>
        <w:instrText xml:space="preserve"> ADDIN ZOTERO_ITEM CSL_CITATION {"citationID":"pcpgDhTG","properties":{"formattedCitation":"\\super 82\\nosupersub{}","plainCitation":"82","noteIndex":0},"citationItems":[{"id":967,"uris":["http://zotero.org/users/local/oxMpWYo5/items/YNXE2C9U"],"uri":["http://zotero.org/users/local/oxMpWYo5/items/YNXE2C9U"],"itemData":{"id":967,"type":"article-journal","abstract":"DNA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82</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Pr>
          <w:lang w:val="en-US"/>
        </w:rPr>
        <w:t>scBS</w:t>
      </w:r>
      <w:proofErr w:type="spellEnd"/>
      <w:r>
        <w:rPr>
          <w:lang w:val="en-US"/>
        </w:rPr>
        <w:t xml:space="preserve">-seq data typically has one or two reads per CpG per </w:t>
      </w:r>
      <w:r w:rsidRPr="00497E6B">
        <w:rPr>
          <w:lang w:val="en-US"/>
        </w:rPr>
        <w:t>chromatid</w:t>
      </w:r>
      <w:r>
        <w:rPr>
          <w:lang w:val="en-US"/>
        </w:rPr>
        <w:t xml:space="preserve"> per cell, depending on </w:t>
      </w:r>
      <w:proofErr w:type="spellStart"/>
      <w:r>
        <w:rPr>
          <w:lang w:val="en-US"/>
        </w:rPr>
        <w:t>strandedness</w:t>
      </w:r>
      <w:proofErr w:type="spellEnd"/>
      <w:r>
        <w:rPr>
          <w:lang w:val="en-US"/>
        </w:rPr>
        <w:t xml:space="preserve">. However, the coverage matrix is necessary for certain analysis functions (e.g., </w:t>
      </w:r>
      <w:proofErr w:type="spellStart"/>
      <w:r w:rsidRPr="00DB1210">
        <w:rPr>
          <w:i/>
          <w:iCs/>
          <w:lang w:val="en-US"/>
        </w:rPr>
        <w:t>mask_by_coverage</w:t>
      </w:r>
      <w:proofErr w:type="spellEnd"/>
      <w:r w:rsidRPr="00DB1210">
        <w:rPr>
          <w:i/>
          <w:iCs/>
          <w:lang w:val="en-US"/>
        </w:rPr>
        <w:t>()</w:t>
      </w:r>
      <w:r>
        <w:rPr>
          <w:lang w:val="en-US"/>
        </w:rPr>
        <w:t xml:space="preserve">) and export formats (e.g., </w:t>
      </w:r>
      <w:proofErr w:type="spellStart"/>
      <w:r w:rsidRPr="0085583B">
        <w:rPr>
          <w:i/>
          <w:iCs/>
          <w:lang w:val="en-US"/>
        </w:rPr>
        <w:t>export_bsseq</w:t>
      </w:r>
      <w:proofErr w:type="spellEnd"/>
      <w:r w:rsidRPr="0085583B">
        <w:rPr>
          <w:i/>
          <w:iCs/>
          <w:lang w:val="en-US"/>
        </w:rPr>
        <w:t>()</w:t>
      </w:r>
      <w:r>
        <w:rPr>
          <w:lang w:val="en-US"/>
        </w:rPr>
        <w:t>). Experiment objects can also be built using subsets of files and later merged.</w:t>
      </w:r>
    </w:p>
    <w:p w14:paraId="2D4D8C64" w14:textId="0A838FCF"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0719C9">
        <w:rPr>
          <w:lang w:val="en-US"/>
        </w:rPr>
        <w:instrText xml:space="preserve"> ADDIN ZOTERO_ITEM CSL_CITATION {"citationID":"4FJeiMLp","properties":{"formattedCitation":"\\super 83\\nosupersub{}","plainCitation":"83","noteIndex":0},"citationItems":[{"id":974,"uris":["http://zotero.org/users/local/oxMpWYo5/items/SYTLZWCF"],"uri":["http://zotero.org/users/local/oxMpWYo5/items/SYTLZWCF"],"itemData":{"id":974,"type":"book","abstract":"Implement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83</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proofErr w:type="spellStart"/>
      <w:r w:rsidRPr="00A52425">
        <w:rPr>
          <w:i/>
          <w:iCs/>
          <w:lang w:val="en-US"/>
        </w:rPr>
        <w:t>GenomicRanges</w:t>
      </w:r>
      <w:proofErr w:type="spellEnd"/>
      <w:r>
        <w:rPr>
          <w:lang w:val="en-US"/>
        </w:rPr>
        <w:t xml:space="preserve"> R package</w:t>
      </w:r>
      <w:r>
        <w:rPr>
          <w:lang w:val="en-US"/>
        </w:rPr>
        <w:fldChar w:fldCharType="begin"/>
      </w:r>
      <w:r w:rsidR="000719C9">
        <w:rPr>
          <w:lang w:val="en-US"/>
        </w:rPr>
        <w:instrText xml:space="preserve"> ADDIN ZOTERO_ITEM CSL_CITATION {"citationID":"xqwFPzt0","properties":{"formattedCitation":"\\super 84\\nosupersub{}","plainCitation":"84","noteIndex":0},"citationItems":[{"id":970,"uris":["http://zotero.org/users/local/oxMpWYo5/items/95HGIBDE"],"uri":["http://zotero.org/users/local/oxMpWYo5/items/95HGIBDE"],"itemData":{"id":970,"type":"article-journal","abstract":"We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84</w:t>
      </w:r>
      <w:r>
        <w:rPr>
          <w:lang w:val="en-US"/>
        </w:rPr>
        <w:fldChar w:fldCharType="end"/>
      </w:r>
      <w:r>
        <w:rPr>
          <w:lang w:val="en-US"/>
        </w:rPr>
        <w:t xml:space="preserve">, and can be stored as stranded or unstranded, with the option to collapse the strands during </w:t>
      </w:r>
      <w:proofErr w:type="spellStart"/>
      <w:r w:rsidRPr="00B01756">
        <w:rPr>
          <w:i/>
          <w:iCs/>
          <w:lang w:val="en-US"/>
        </w:rPr>
        <w:t>read_beds</w:t>
      </w:r>
      <w:proofErr w:type="spellEnd"/>
      <w:r w:rsidRPr="00B01756">
        <w:rPr>
          <w:i/>
          <w:iCs/>
          <w:lang w:val="en-US"/>
        </w:rPr>
        <w:t>()</w:t>
      </w:r>
      <w:r>
        <w:rPr>
          <w:lang w:val="en-US"/>
        </w:rPr>
        <w:t xml:space="preserve">. Metadata for the experiment (e.g., additional sample IDs, machines used, relevant dates, CpG annotation) can be stored as either </w:t>
      </w:r>
      <w:proofErr w:type="spellStart"/>
      <w:r w:rsidRPr="008E2D4A">
        <w:rPr>
          <w:i/>
          <w:iCs/>
          <w:lang w:val="en-US"/>
        </w:rPr>
        <w:t>rowData</w:t>
      </w:r>
      <w:proofErr w:type="spellEnd"/>
      <w:r>
        <w:rPr>
          <w:lang w:val="en-US"/>
        </w:rPr>
        <w:t xml:space="preserve">() for CpGs, </w:t>
      </w:r>
      <w:proofErr w:type="spellStart"/>
      <w:r w:rsidRPr="008E2D4A">
        <w:rPr>
          <w:i/>
          <w:iCs/>
          <w:lang w:val="en-US"/>
        </w:rPr>
        <w:t>colData</w:t>
      </w:r>
      <w:proofErr w:type="spellEnd"/>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lastRenderedPageBreak/>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proofErr w:type="spellStart"/>
      <w:r w:rsidRPr="00DA7E7A">
        <w:rPr>
          <w:i/>
          <w:iCs/>
          <w:lang w:val="en-US"/>
        </w:rPr>
        <w:t>reducedDim</w:t>
      </w:r>
      <w:proofErr w:type="spellEnd"/>
      <w:r>
        <w:rPr>
          <w:lang w:val="en-US"/>
        </w:rPr>
        <w:t xml:space="preserve">(). The experiment object can be serialized and stored on-disk for ease of transfer or later analysis.  </w:t>
      </w:r>
    </w:p>
    <w:p w14:paraId="238DF7E0" w14:textId="082C3D20"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Pr>
          <w:lang w:val="en-US"/>
        </w:rPr>
        <w:t>BedGraph</w:t>
      </w:r>
      <w:proofErr w:type="spellEnd"/>
      <w:r>
        <w:rPr>
          <w:lang w:val="en-US"/>
        </w:rPr>
        <w:t xml:space="preserve">, </w:t>
      </w:r>
      <w:proofErr w:type="spellStart"/>
      <w:r w:rsidRPr="00BB41D2">
        <w:rPr>
          <w:lang w:val="en-US"/>
        </w:rPr>
        <w:t>metilene</w:t>
      </w:r>
      <w:proofErr w:type="spellEnd"/>
      <w:r>
        <w:rPr>
          <w:lang w:val="en-US"/>
        </w:rPr>
        <w:t xml:space="preserve">, </w:t>
      </w:r>
      <w:proofErr w:type="spellStart"/>
      <w:r>
        <w:rPr>
          <w:lang w:val="en-US"/>
        </w:rPr>
        <w:t>bigWig</w:t>
      </w:r>
      <w:proofErr w:type="spellEnd"/>
      <w:r>
        <w:rPr>
          <w:lang w:val="en-US"/>
        </w:rPr>
        <w:t xml:space="preserve">, and </w:t>
      </w:r>
      <w:proofErr w:type="spellStart"/>
      <w:r>
        <w:rPr>
          <w:lang w:val="en-US"/>
        </w:rPr>
        <w:t>BSSeq</w:t>
      </w:r>
      <w:proofErr w:type="spellEnd"/>
      <w:r>
        <w:rPr>
          <w:lang w:val="en-US"/>
        </w:rPr>
        <w:t xml:space="preserve">. There is partial compatibility with Seurat, but as it is designed more for coverage data from RNA-seq experiments, there is limited functionality available for downstream analysis of </w:t>
      </w:r>
      <w:proofErr w:type="spellStart"/>
      <w:r w:rsidRPr="000C525A">
        <w:rPr>
          <w:i/>
          <w:iCs/>
          <w:lang w:val="en-US"/>
        </w:rPr>
        <w:t>scMethrix</w:t>
      </w:r>
      <w:proofErr w:type="spellEnd"/>
      <w:r>
        <w:rPr>
          <w:lang w:val="en-US"/>
        </w:rPr>
        <w:t xml:space="preserve"> objects. The </w:t>
      </w:r>
      <w:proofErr w:type="spellStart"/>
      <w:r w:rsidRPr="00747C65">
        <w:rPr>
          <w:i/>
          <w:iCs/>
          <w:lang w:val="en-US"/>
        </w:rPr>
        <w:t>scMethrix</w:t>
      </w:r>
      <w:proofErr w:type="spellEnd"/>
      <w:r>
        <w:rPr>
          <w:lang w:val="en-US"/>
        </w:rPr>
        <w:t xml:space="preserve"> object can also be used directly with any package that supports </w:t>
      </w:r>
      <w:proofErr w:type="spellStart"/>
      <w:r w:rsidRPr="00747C65">
        <w:rPr>
          <w:i/>
          <w:iCs/>
          <w:lang w:val="en-US"/>
        </w:rPr>
        <w:t>SingleCellExperiment</w:t>
      </w:r>
      <w:proofErr w:type="spellEnd"/>
      <w:r>
        <w:rPr>
          <w:lang w:val="en-US"/>
        </w:rPr>
        <w:t xml:space="preserve"> objects (e.g., </w:t>
      </w:r>
      <w:proofErr w:type="spellStart"/>
      <w:r w:rsidRPr="00385359">
        <w:rPr>
          <w:lang w:val="en-US"/>
        </w:rPr>
        <w:t>scate</w:t>
      </w:r>
      <w:r>
        <w:rPr>
          <w:lang w:val="en-US"/>
        </w:rPr>
        <w:t>r</w:t>
      </w:r>
      <w:proofErr w:type="spellEnd"/>
      <w:r>
        <w:rPr>
          <w:lang w:val="en-US"/>
        </w:rPr>
        <w:fldChar w:fldCharType="begin"/>
      </w:r>
      <w:r w:rsidR="000719C9">
        <w:rPr>
          <w:lang w:val="en-US"/>
        </w:rPr>
        <w:instrText xml:space="preserve"> ADDIN ZOTERO_ITEM CSL_CITATION {"citationID":"WsxO84LW","properties":{"formattedCitation":"\\super 85\\nosupersub{}","plainCitation":"85","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85</w:t>
      </w:r>
      <w:r>
        <w:rPr>
          <w:lang w:val="en-US"/>
        </w:rPr>
        <w:fldChar w:fldCharType="end"/>
      </w:r>
      <w:r>
        <w:rPr>
          <w:lang w:val="en-US"/>
        </w:rPr>
        <w:t xml:space="preserve"> or scran</w:t>
      </w:r>
      <w:r>
        <w:rPr>
          <w:lang w:val="en-US"/>
        </w:rPr>
        <w:fldChar w:fldCharType="begin"/>
      </w:r>
      <w:r w:rsidR="000719C9">
        <w:rPr>
          <w:lang w:val="en-US"/>
        </w:rPr>
        <w:instrText xml:space="preserve"> ADDIN ZOTERO_ITEM CSL_CITATION {"citationID":"0eJr1WfC","properties":{"formattedCitation":"\\super 86\\nosupersub{}","plainCitation":"86","noteIndex":0},"citationItems":[{"id":1047,"uris":["http://zotero.org/users/local/oxMpWYo5/items/LFAJEX8N"],"uri":["http://zotero.org/users/local/oxMpWYo5/items/LFAJEX8N"],"itemData":{"id":1047,"type":"book","abstract":"Implements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86</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proofErr w:type="spellStart"/>
      <w:r w:rsidR="002C2D62" w:rsidRPr="002C2D62">
        <w:rPr>
          <w:i/>
          <w:iCs/>
          <w:lang w:val="en-US"/>
        </w:rPr>
        <w:t>mask_scMethrix</w:t>
      </w:r>
      <w:proofErr w:type="spellEnd"/>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proofErr w:type="spellStart"/>
      <w:r w:rsidR="00D7117B" w:rsidRPr="00D7117B">
        <w:rPr>
          <w:i/>
          <w:iCs/>
          <w:lang w:val="en-US"/>
        </w:rPr>
        <w:t>remove_uncovered</w:t>
      </w:r>
      <w:proofErr w:type="spellEnd"/>
      <w:r w:rsidR="00D7117B" w:rsidRPr="00D7117B">
        <w:rPr>
          <w:i/>
          <w:iCs/>
          <w:lang w:val="en-US"/>
        </w:rPr>
        <w:t>()</w:t>
      </w:r>
      <w:r w:rsidR="00D7117B">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Pr>
          <w:lang w:val="en-US"/>
        </w:rPr>
        <w:t>get_region_summary</w:t>
      </w:r>
      <w:proofErr w:type="spellEnd"/>
      <w:r w:rsidR="004C53EC">
        <w:rPr>
          <w:lang w:val="en-US"/>
        </w:rPr>
        <w:t xml:space="preserve">(), </w:t>
      </w:r>
      <w:proofErr w:type="spellStart"/>
      <w:r w:rsidR="004C53EC">
        <w:rPr>
          <w:lang w:val="en-US"/>
        </w:rPr>
        <w:t>get_rowdata_stats</w:t>
      </w:r>
      <w:proofErr w:type="spellEnd"/>
      <w:r w:rsidR="004C53EC">
        <w:rPr>
          <w:lang w:val="en-US"/>
        </w:rPr>
        <w:t xml:space="preserve">(), and </w:t>
      </w:r>
      <w:proofErr w:type="spellStart"/>
      <w:r w:rsidR="004C53EC">
        <w:rPr>
          <w:lang w:val="en-US"/>
        </w:rPr>
        <w:t>get_coldata_stats</w:t>
      </w:r>
      <w:proofErr w:type="spellEnd"/>
      <w:r w:rsidR="004C53EC">
        <w:rPr>
          <w:lang w:val="en-US"/>
        </w:rPr>
        <w:t>()</w:t>
      </w:r>
      <w:r>
        <w:rPr>
          <w:lang w:val="en-US"/>
        </w:rPr>
        <w:t xml:space="preserve">. Genomic regions can be subset by sample, chromosome, or region. The </w:t>
      </w:r>
      <w:proofErr w:type="spellStart"/>
      <w:r w:rsidRPr="00E925F8">
        <w:rPr>
          <w:i/>
          <w:iCs/>
          <w:lang w:val="en-US"/>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Pr>
          <w:i/>
          <w:iCs/>
          <w:lang w:val="en-US"/>
        </w:rPr>
        <w:t>row</w:t>
      </w:r>
      <w:r w:rsidRPr="00CC7F3F">
        <w:rPr>
          <w:i/>
          <w:iCs/>
          <w:lang w:val="en-US"/>
        </w:rPr>
        <w:t>Data</w:t>
      </w:r>
      <w:proofErr w:type="spellEnd"/>
      <w:r w:rsidRPr="00CC7F3F">
        <w:rPr>
          <w:i/>
          <w:iCs/>
          <w:lang w:val="en-US"/>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9" w:name="_Ref87445575"/>
            <w:bookmarkStart w:id="40"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9"/>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40"/>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w:t>
            </w:r>
            <w:proofErr w:type="spellStart"/>
            <w:r w:rsidRPr="00ED297C">
              <w:rPr>
                <w:rStyle w:val="SubtleEmphasis"/>
                <w:b w:val="0"/>
                <w:bCs w:val="0"/>
              </w:rPr>
              <w:t>scMethrix</w:t>
            </w:r>
            <w:proofErr w:type="spellEnd"/>
            <w:r w:rsidRPr="00ED297C">
              <w:rPr>
                <w:rStyle w:val="SubtleEmphasis"/>
                <w:b w:val="0"/>
                <w:bCs w:val="0"/>
              </w:rPr>
              <w:t xml:space="preserve"> object to store data from single cell methylation experiments. Metadata for CpGs is  stored in </w:t>
            </w:r>
            <w:proofErr w:type="spellStart"/>
            <w:r w:rsidRPr="00ED297C">
              <w:rPr>
                <w:rStyle w:val="SubtleEmphasis"/>
                <w:b w:val="0"/>
                <w:bCs w:val="0"/>
              </w:rPr>
              <w:t>rowData</w:t>
            </w:r>
            <w:proofErr w:type="spellEnd"/>
            <w:r w:rsidRPr="00ED297C">
              <w:rPr>
                <w:rStyle w:val="SubtleEmphasis"/>
                <w:b w:val="0"/>
                <w:bCs w:val="0"/>
              </w:rPr>
              <w:t xml:space="preserve">(), and sample information is stored in </w:t>
            </w:r>
            <w:proofErr w:type="spellStart"/>
            <w:r w:rsidRPr="00ED297C">
              <w:rPr>
                <w:rStyle w:val="SubtleEmphasis"/>
                <w:b w:val="0"/>
                <w:bCs w:val="0"/>
              </w:rPr>
              <w:t>colData</w:t>
            </w:r>
            <w:proofErr w:type="spellEnd"/>
            <w:r w:rsidRPr="00ED297C">
              <w:rPr>
                <w:rStyle w:val="SubtleEmphasis"/>
                <w:b w:val="0"/>
                <w:bCs w:val="0"/>
              </w:rPr>
              <w:t xml:space="preserve">(). The rows and columns of each assay() represent each CpG and sample, respectively. Dimensionality reduction data is stored in </w:t>
            </w:r>
            <w:proofErr w:type="spellStart"/>
            <w:r w:rsidRPr="00ED297C">
              <w:rPr>
                <w:rStyle w:val="SubtleEmphasis"/>
                <w:b w:val="0"/>
                <w:bCs w:val="0"/>
              </w:rPr>
              <w:t>reducedDims</w:t>
            </w:r>
            <w:proofErr w:type="spellEnd"/>
            <w:r w:rsidRPr="00ED297C">
              <w:rPr>
                <w:rStyle w:val="SubtleEmphasis"/>
                <w:b w:val="0"/>
                <w:bCs w:val="0"/>
              </w:rPr>
              <w:t xml:space="preserve">().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proofErr w:type="spellStart"/>
      <w:r w:rsidRPr="000453FA">
        <w:rPr>
          <w:i/>
          <w:iCs/>
          <w:lang w:val="en-US"/>
        </w:rPr>
        <w:t>colData</w:t>
      </w:r>
      <w:proofErr w:type="spellEnd"/>
      <w:r w:rsidRPr="000453FA">
        <w:rPr>
          <w:i/>
          <w:iCs/>
          <w:lang w:val="en-US"/>
        </w:rPr>
        <w:t>()</w:t>
      </w:r>
      <w:r>
        <w:rPr>
          <w:lang w:val="en-US"/>
        </w:rPr>
        <w:t xml:space="preserve"> column. Typically, this column would be given by the user during </w:t>
      </w:r>
      <w:proofErr w:type="spellStart"/>
      <w:r w:rsidRPr="001A72C8">
        <w:rPr>
          <w:i/>
          <w:iCs/>
          <w:lang w:val="en-US"/>
        </w:rPr>
        <w:t>read_beds</w:t>
      </w:r>
      <w:proofErr w:type="spellEnd"/>
      <w:r w:rsidRPr="001A72C8">
        <w:rPr>
          <w:i/>
          <w:iCs/>
          <w:lang w:val="en-US"/>
        </w:rPr>
        <w:t>()</w:t>
      </w:r>
      <w:r>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395819">
        <w:rPr>
          <w:i/>
          <w:iCs/>
          <w:lang w:val="en-US"/>
        </w:rPr>
        <w:t>colData</w:t>
      </w:r>
      <w:proofErr w:type="spellEnd"/>
      <w:r w:rsidRPr="00395819">
        <w:rPr>
          <w:i/>
          <w:iCs/>
          <w:lang w:val="en-US"/>
        </w:rPr>
        <w:t>()</w:t>
      </w:r>
      <w:r>
        <w:rPr>
          <w:lang w:val="en-US"/>
        </w:rPr>
        <w:t xml:space="preserve"> can capture the names of samples in each collapsed group.</w:t>
      </w:r>
    </w:p>
    <w:p w14:paraId="3ABBA822" w14:textId="123F0DBB"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sidR="000719C9">
        <w:rPr>
          <w:lang w:val="en-US"/>
        </w:rPr>
        <w:instrText xml:space="preserve"> ADDIN ZOTERO_ITEM CSL_CITATION {"citationID":"izwOmWor","properties":{"formattedCitation":"\\super 87\\nosupersub{}","plainCitation":"87","noteIndex":0},"citationItems":[{"id":890,"uris":["http://zotero.org/users/local/oxMpWYo5/items/GI5B8U9Y"],"uri":["http://zotero.org/users/local/oxMpWYo5/items/GI5B8U9Y"],"itemData":{"id":890,"type":"book","abstract":"Imputation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87</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sidR="000719C9">
        <w:rPr>
          <w:lang w:val="en-US"/>
        </w:rPr>
        <w:instrText xml:space="preserve"> ADDIN ZOTERO_ITEM CSL_CITATION {"citationID":"Dh4rNbIj","properties":{"formattedCitation":"\\super 88\\nosupersub{}","plainCitation":"88","noteIndex":0},"citationItems":[{"id":891,"uris":["http://zotero.org/users/local/oxMpWYo5/items/AQD3F78D"],"uri":["http://zotero.org/users/local/oxMpWYo5/items/AQD3F78D"],"itemData":{"id":891,"type":"book","abstract":"Imputation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88</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sidR="000719C9">
        <w:rPr>
          <w:lang w:val="en-US"/>
        </w:rPr>
        <w:instrText xml:space="preserve"> ADDIN ZOTERO_ITEM CSL_CITATION {"citationID":"4KGxZ8ZI","properties":{"formattedCitation":"\\super 89\\nosupersub{}","plainCitation":"89","noteIndex":0},"citationItems":[{"id":892,"uris":["http://zotero.org/users/local/oxMpWYo5/items/I788EX55"],"uri":["http://zotero.org/users/local/oxMpWYo5/items/I788EX55"],"itemData":{"id":892,"type":"book","abstract":"The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89</w:t>
      </w:r>
      <w:r>
        <w:rPr>
          <w:lang w:val="en-US"/>
        </w:rPr>
        <w:fldChar w:fldCharType="end"/>
      </w:r>
      <w:r>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FA623C6"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8D2C3F">
        <w:rPr>
          <w:i/>
          <w:iCs/>
          <w:lang w:val="en-US"/>
        </w:rPr>
        <w:t>biodist</w:t>
      </w:r>
      <w:proofErr w:type="spellEnd"/>
      <w:r>
        <w:rPr>
          <w:lang w:val="en-US"/>
        </w:rPr>
        <w:fldChar w:fldCharType="begin"/>
      </w:r>
      <w:r w:rsidR="000719C9">
        <w:rPr>
          <w:lang w:val="en-US"/>
        </w:rPr>
        <w:instrText xml:space="preserve"> ADDIN ZOTERO_ITEM CSL_CITATION {"citationID":"TTfKva7a","properties":{"formattedCitation":"\\super 90\\nosupersub{}","plainCitation":"90","noteIndex":0},"citationItems":[{"id":896,"uris":["http://zotero.org/users/local/oxMpWYo5/items/SPDS8523"],"uri":["http://zotero.org/users/local/oxMpWYo5/items/SPDS8523"],"itemData":{"id":896,"type":"book","abstract":"A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90</w:t>
      </w:r>
      <w:r>
        <w:rPr>
          <w:lang w:val="en-US"/>
        </w:rPr>
        <w:fldChar w:fldCharType="end"/>
      </w:r>
      <w:r>
        <w:rPr>
          <w:lang w:val="en-US"/>
        </w:rPr>
        <w:t xml:space="preserve">). Using this metric, clusters can be generated via hierarchy or partitions (via base R), as well as model-based clustering (via </w:t>
      </w:r>
      <w:proofErr w:type="spellStart"/>
      <w:r w:rsidRPr="00875771">
        <w:rPr>
          <w:i/>
          <w:iCs/>
          <w:lang w:val="en-US"/>
        </w:rPr>
        <w:t>mclust</w:t>
      </w:r>
      <w:proofErr w:type="spellEnd"/>
      <w:r>
        <w:rPr>
          <w:lang w:val="en-US"/>
        </w:rPr>
        <w:fldChar w:fldCharType="begin"/>
      </w:r>
      <w:r w:rsidR="000719C9">
        <w:rPr>
          <w:lang w:val="en-US"/>
        </w:rPr>
        <w:instrText xml:space="preserve"> ADDIN ZOTERO_ITEM CSL_CITATION {"citationID":"UzNEG1hm","properties":{"formattedCitation":"\\super 91\\nosupersub{}","plainCitation":"91","noteIndex":0},"citationItems":[{"id":897,"uris":["http://zotero.org/users/local/oxMpWYo5/items/5TH6NYUV"],"uri":["http://zotero.org/users/local/oxMpWYo5/items/5TH6NYUV"],"itemData":{"id":897,"type":"book","abstract":"Gaussian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91</w:t>
      </w:r>
      <w:r>
        <w:rPr>
          <w:lang w:val="en-US"/>
        </w:rPr>
        <w:fldChar w:fldCharType="end"/>
      </w:r>
      <w:r>
        <w:rPr>
          <w:lang w:val="en-US"/>
        </w:rPr>
        <w:t>). Other clustering algorithms and distance metrics can be used via arbitrary function.</w:t>
      </w:r>
    </w:p>
    <w:p w14:paraId="19C48868" w14:textId="24C1140F"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by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sidR="000719C9">
        <w:rPr>
          <w:lang w:val="en-US"/>
        </w:rPr>
        <w:instrText xml:space="preserve"> ADDIN ZOTERO_ITEM CSL_CITATION {"citationID":"YI6e35Su","properties":{"formattedCitation":"\\super 92\\nosupersub{}","plainCitation":"92","noteIndex":0},"citationItems":[{"id":898,"uris":["http://zotero.org/users/local/oxMpWYo5/items/2GIVWPW4"],"uri":["http://zotero.org/users/local/oxMpWYo5/items/2GIVWPW4"],"itemData":{"id":898,"type":"book","abstract":"Uniform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92</w:t>
      </w:r>
      <w:r>
        <w:rPr>
          <w:lang w:val="en-US"/>
        </w:rPr>
        <w:fldChar w:fldCharType="end"/>
      </w:r>
      <w:r>
        <w:rPr>
          <w:lang w:val="en-US"/>
        </w:rPr>
        <w:t>), or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sidR="000719C9">
        <w:rPr>
          <w:lang w:val="en-US"/>
        </w:rPr>
        <w:instrText xml:space="preserve"> ADDIN ZOTERO_ITEM CSL_CITATION {"citationID":"kD0TgdZx","properties":{"formattedCitation":"\\super 93\\nosupersub{}","plainCitation":"93","noteIndex":0},"citationItems":[{"id":901,"uris":["http://zotero.org/users/local/oxMpWYo5/items/GSLXF7C5"],"uri":["http://zotero.org/users/local/oxMpWYo5/items/GSLXF7C5"],"itemData":{"id":901,"type":"book","abstract":"A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93</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proofErr w:type="spellStart"/>
      <w:r w:rsidRPr="006209A1">
        <w:rPr>
          <w:i/>
          <w:iCs/>
          <w:lang w:val="en-US"/>
        </w:rPr>
        <w:t>scMethrix</w:t>
      </w:r>
      <w:proofErr w:type="spellEnd"/>
      <w:r>
        <w:rPr>
          <w:lang w:val="en-US"/>
        </w:rPr>
        <w:t xml:space="preserve"> object. </w:t>
      </w:r>
    </w:p>
    <w:p w14:paraId="771D1247" w14:textId="2EF4FBAA"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0719C9">
        <w:rPr>
          <w:i/>
          <w:iCs/>
          <w:lang w:val="en-US"/>
        </w:rPr>
        <w:instrText xml:space="preserve"> ADDIN ZOTERO_ITEM CSL_CITATION {"citationID":"SFB0W4PX","properties":{"formattedCitation":"\\super 94\\nosupersub{}","plainCitation":"94","noteIndex":0},"citationItems":[{"id":909,"uris":["http://zotero.org/users/local/oxMpWYo5/items/KFYZ2Q6E"],"uri":["http://zotero.org/users/local/oxMpWYo5/items/KFYZ2Q6E"],"itemData":{"id":909,"type":"webpage","title":"CRAN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719C9" w:rsidRPr="000719C9">
        <w:rPr>
          <w:rFonts w:ascii="Calibri" w:hAnsi="Calibri" w:cs="Calibri"/>
          <w:szCs w:val="24"/>
          <w:vertAlign w:val="superscript"/>
        </w:rPr>
        <w:t>94</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41" w:name="_Ref87451890"/>
            <w:bookmarkStart w:id="42"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41"/>
            <w:r w:rsidRPr="005F30D8">
              <w:rPr>
                <w:b/>
                <w:bCs/>
              </w:rPr>
              <w:t xml:space="preserve">.  Workflow for analyzing single-cell data with </w:t>
            </w:r>
            <w:proofErr w:type="spellStart"/>
            <w:r w:rsidRPr="005F30D8">
              <w:rPr>
                <w:b/>
                <w:bCs/>
              </w:rPr>
              <w:t>scMethrix</w:t>
            </w:r>
            <w:proofErr w:type="spellEnd"/>
            <w:r w:rsidRPr="005F30D8">
              <w:rPr>
                <w:b/>
                <w:bCs/>
              </w:rPr>
              <w:t>.</w:t>
            </w:r>
            <w:bookmarkEnd w:id="42"/>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46C8538B" w14:textId="2A5370B7"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0719C9">
        <w:rPr>
          <w:lang w:val="en-US"/>
        </w:rPr>
        <w:instrText xml:space="preserve"> ADDIN ZOTERO_ITEM CSL_CITATION {"citationID":"R28zoFLA","properties":{"formattedCitation":"\\super 95,96\\nosupersub{}","plainCitation":"95,96","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0719C9" w:rsidRPr="000719C9">
        <w:rPr>
          <w:rFonts w:ascii="Calibri" w:hAnsi="Calibri" w:cs="Calibri"/>
          <w:szCs w:val="24"/>
          <w:vertAlign w:val="superscript"/>
        </w:rPr>
        <w:t>95,96</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2267BFDE" w:rsidR="00D639BA" w:rsidRDefault="00C94E37" w:rsidP="005206DF">
      <w:pPr>
        <w:jc w:val="both"/>
        <w:rPr>
          <w:lang w:val="en-US"/>
        </w:rPr>
      </w:pPr>
      <w:r w:rsidRPr="00C94E37">
        <w:rPr>
          <w:b/>
          <w:bCs/>
          <w:lang w:val="en-US"/>
        </w:rPr>
        <w:t>Methylation</w:t>
      </w:r>
      <w:r>
        <w:rPr>
          <w:b/>
          <w:bCs/>
          <w:lang w:val="en-US"/>
        </w:rPr>
        <w:t xml:space="preserve">: </w:t>
      </w:r>
      <w:r w:rsidR="00B954E7">
        <w:rPr>
          <w:b/>
          <w:bCs/>
          <w:lang w:val="en-US"/>
        </w:rPr>
        <w:t xml:space="preserve"> </w:t>
      </w:r>
      <w:r w:rsidR="00D639BA">
        <w:rPr>
          <w:lang w:val="en-US"/>
        </w:rPr>
        <w:t>Raw data files were obtained from</w:t>
      </w:r>
      <w:r w:rsidR="000050FE">
        <w:rPr>
          <w:lang w:val="en-US"/>
        </w:rPr>
        <w:t xml:space="preserve"> the Gene Expression Omnibus</w:t>
      </w:r>
      <w:r w:rsidR="00D639BA">
        <w:rPr>
          <w:lang w:val="en-US"/>
        </w:rPr>
        <w:t xml:space="preserve"> </w:t>
      </w:r>
      <w:r w:rsidR="000050FE">
        <w:rPr>
          <w:lang w:val="en-US"/>
        </w:rPr>
        <w:t>(GEO). Datasets contained glioma-related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719C9">
        <w:rPr>
          <w:lang w:val="en-US"/>
        </w:rPr>
        <w:instrText xml:space="preserve"> ADDIN ZOTERO_ITEM CSL_CITATION {"citationID":"GDGuHJmX","properties":{"formattedCitation":"\\super 97\\nosupersub{}","plainCitation":"97","noteIndex":0},"citationItems":[{"id":986,"uris":["http://zotero.org/users/local/oxMpWYo5/items/9EKA7Y23"],"uri":["http://zotero.org/users/local/oxMpWYo5/items/9EKA7Y23"],"itemData":{"id":986,"type":"article-journal","abstract":"Methylation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719C9" w:rsidRPr="000719C9">
        <w:rPr>
          <w:rFonts w:ascii="Calibri" w:hAnsi="Calibri" w:cs="Calibri"/>
          <w:szCs w:val="24"/>
          <w:vertAlign w:val="superscript"/>
        </w:rPr>
        <w:t>97</w:t>
      </w:r>
      <w:r w:rsidR="00D940D2">
        <w:rPr>
          <w:lang w:val="en-US"/>
        </w:rPr>
        <w:fldChar w:fldCharType="end"/>
      </w:r>
      <w:r w:rsidR="00D639BA" w:rsidRPr="00A8410B">
        <w:rPr>
          <w:lang w:val="en-US"/>
        </w:rPr>
        <w:t>, GSE88824</w:t>
      </w:r>
      <w:r w:rsidR="00D940D2">
        <w:rPr>
          <w:lang w:val="en-US"/>
        </w:rPr>
        <w:fldChar w:fldCharType="begin"/>
      </w:r>
      <w:r w:rsidR="000719C9">
        <w:rPr>
          <w:lang w:val="en-US"/>
        </w:rPr>
        <w:instrText xml:space="preserve"> ADDIN ZOTERO_ITEM CSL_CITATION {"citationID":"6c6zoUYP","properties":{"formattedCitation":"\\super 98\\nosupersub{}","plainCitation":"98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0719C9" w:rsidRPr="000719C9">
        <w:rPr>
          <w:rFonts w:ascii="Calibri" w:hAnsi="Calibri" w:cs="Calibri"/>
          <w:szCs w:val="24"/>
          <w:vertAlign w:val="superscript"/>
        </w:rPr>
        <w:t>98</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0719C9">
        <w:rPr>
          <w:lang w:val="en-US"/>
        </w:rPr>
        <w:instrText xml:space="preserve"> ADDIN ZOTERO_ITEM CSL_CITATION {"citationID":"sXuHHLnE","properties":{"formattedCitation":"\\super 99\\nosupersub{}","plainCitation":"99","noteIndex":0},"citationItems":[{"id":988,"uris":["http://zotero.org/users/local/oxMpWYo5/items/IDKKGQR5"],"uri":["http://zotero.org/users/local/oxMpWYo5/items/IDKKGQR5"],"itemData":{"id":988,"type":"article-journal","abstract":"Most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0719C9" w:rsidRPr="000719C9">
        <w:rPr>
          <w:rFonts w:ascii="Calibri" w:hAnsi="Calibri" w:cs="Calibri"/>
          <w:szCs w:val="24"/>
          <w:vertAlign w:val="superscript"/>
        </w:rPr>
        <w:t>99</w:t>
      </w:r>
      <w:r w:rsidR="00A914F7">
        <w:rPr>
          <w:lang w:val="en-US"/>
        </w:rPr>
        <w:fldChar w:fldCharType="end"/>
      </w:r>
      <w:r w:rsidR="00D639BA" w:rsidRPr="00A8410B">
        <w:rPr>
          <w:lang w:val="en-US"/>
        </w:rPr>
        <w:t>)</w:t>
      </w:r>
      <w:r w:rsidR="00D639BA">
        <w:rPr>
          <w:lang w:val="en-US"/>
        </w:rPr>
        <w:t>,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0719C9">
        <w:rPr>
          <w:lang w:val="en-US"/>
        </w:rPr>
        <w:instrText xml:space="preserve"> ADDIN ZOTERO_ITEM CSL_CITATION {"citationID":"0yKs858K","properties":{"formattedCitation":"\\super 100\\nosupersub{}","plainCitation":"100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100</w:t>
      </w:r>
      <w:r w:rsidR="00DE33CD">
        <w:rPr>
          <w:lang w:val="en-US"/>
        </w:rPr>
        <w:fldChar w:fldCharType="end"/>
      </w:r>
      <w:r w:rsidR="00D639BA">
        <w:rPr>
          <w:lang w:val="en-US"/>
        </w:rPr>
        <w:t>),</w:t>
      </w:r>
      <w:r w:rsidR="00D639BA" w:rsidRPr="00170FCC">
        <w:rPr>
          <w:lang w:val="en-US"/>
        </w:rPr>
        <w:t xml:space="preserve"> </w:t>
      </w:r>
      <w:r w:rsidR="00D639BA">
        <w:rPr>
          <w:lang w:val="en-US"/>
        </w:rPr>
        <w:t>microglia-like (</w:t>
      </w:r>
      <w:r w:rsidR="00D639BA" w:rsidRPr="00EB5EAD">
        <w:rPr>
          <w:lang w:val="en-US"/>
        </w:rPr>
        <w:t>GSE121483</w:t>
      </w:r>
      <w:r w:rsidR="00DE33CD">
        <w:rPr>
          <w:lang w:val="en-US"/>
        </w:rPr>
        <w:fldChar w:fldCharType="begin"/>
      </w:r>
      <w:r w:rsidR="000719C9">
        <w:rPr>
          <w:lang w:val="en-US"/>
        </w:rPr>
        <w:instrText xml:space="preserve"> ADDIN ZOTERO_ITEM CSL_CITATION {"citationID":"Gi4wBbQU","properties":{"formattedCitation":"\\super 101\\nosupersub{}","plainCitation":"101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101</w:t>
      </w:r>
      <w:r w:rsidR="00DE33CD">
        <w:rPr>
          <w:lang w:val="en-US"/>
        </w:rPr>
        <w:fldChar w:fldCharType="end"/>
      </w:r>
      <w:r w:rsidR="00D639BA">
        <w:rPr>
          <w:lang w:val="en-US"/>
        </w:rPr>
        <w:t>), glioma-related immune cells (</w:t>
      </w:r>
      <w:r w:rsidR="00D639BA" w:rsidRPr="00DF6DDB">
        <w:rPr>
          <w:lang w:val="en-US"/>
        </w:rPr>
        <w:t>GSE151506</w:t>
      </w:r>
      <w:r w:rsidR="00DE33CD">
        <w:rPr>
          <w:lang w:val="en-US"/>
        </w:rPr>
        <w:fldChar w:fldCharType="begin"/>
      </w:r>
      <w:r w:rsidR="000719C9">
        <w:rPr>
          <w:lang w:val="en-US"/>
        </w:rPr>
        <w:instrText xml:space="preserve"> ADDIN ZOTERO_ITEM CSL_CITATION {"citationID":"b2YQ26Fp","properties":{"formattedCitation":"\\super 102\\nosupersub{}","plainCitation":"102","noteIndex":0},"citationItems":[{"id":1001,"uris":["http://zotero.org/users/local/oxMpWYo5/items/3G5CM46F"],"uri":["http://zotero.org/users/local/oxMpWYo5/items/3G5CM46F"],"itemData":{"id":1001,"type":"webpage","title":"Epigenetic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102</w:t>
      </w:r>
      <w:r w:rsidR="00DE33CD">
        <w:rPr>
          <w:lang w:val="en-US"/>
        </w:rPr>
        <w:fldChar w:fldCharType="end"/>
      </w:r>
      <w:r w:rsidR="00D639BA">
        <w:rPr>
          <w:lang w:val="en-US"/>
        </w:rPr>
        <w:t>), glioblastoma (IDH-WT and IDH-mut; GSE151506</w:t>
      </w:r>
      <w:r w:rsidR="00DE33CD">
        <w:rPr>
          <w:lang w:val="en-US"/>
        </w:rPr>
        <w:fldChar w:fldCharType="begin"/>
      </w:r>
      <w:r w:rsidR="000719C9">
        <w:rPr>
          <w:lang w:val="en-US"/>
        </w:rPr>
        <w:instrText xml:space="preserve"> ADDIN ZOTERO_ITEM CSL_CITATION {"citationID":"5WxMHw6X","properties":{"formattedCitation":"\\super 102\\nosupersub{}","plainCitation":"102","noteIndex":0},"citationItems":[{"id":1001,"uris":["http://zotero.org/users/local/oxMpWYo5/items/3G5CM46F"],"uri":["http://zotero.org/users/local/oxMpWYo5/items/3G5CM46F"],"itemData":{"id":1001,"type":"webpage","title":"Epigenetic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102</w:t>
      </w:r>
      <w:r w:rsidR="00DE33CD">
        <w:rPr>
          <w:lang w:val="en-US"/>
        </w:rPr>
        <w:fldChar w:fldCharType="end"/>
      </w:r>
      <w:r w:rsidR="00D639BA">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0719C9">
        <w:rPr>
          <w:lang w:val="en-US"/>
        </w:rPr>
        <w:instrText xml:space="preserve"> ADDIN ZOTERO_ITEM CSL_CITATION {"citationID":"Dk8vvHFD","properties":{"formattedCitation":"\\super 103\\nosupersub{}","plainCitation":"103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0719C9" w:rsidRPr="000719C9">
        <w:rPr>
          <w:rFonts w:ascii="Calibri" w:hAnsi="Calibri" w:cs="Calibri"/>
          <w:szCs w:val="24"/>
          <w:vertAlign w:val="superscript"/>
        </w:rPr>
        <w:t>103</w:t>
      </w:r>
      <w:r w:rsidR="00B4510F">
        <w:rPr>
          <w:lang w:val="en-US"/>
        </w:rPr>
        <w:fldChar w:fldCharType="end"/>
      </w:r>
      <w:r w:rsidR="00B4510F">
        <w:rPr>
          <w:lang w:val="en-US"/>
        </w:rPr>
        <w:t xml:space="preserve">, </w:t>
      </w:r>
      <w:r w:rsidR="003007CE">
        <w:rPr>
          <w:lang w:val="en-US"/>
        </w:rPr>
        <w:fldChar w:fldCharType="begin"/>
      </w:r>
      <w:r w:rsidR="000719C9">
        <w:rPr>
          <w:lang w:val="en-US"/>
        </w:rPr>
        <w:instrText xml:space="preserve"> ADDIN ZOTERO_ITEM CSL_CITATION {"citationID":"adDuZGVs","properties":{"formattedCitation":"\\super 104\\nosupersub{}","plainCitation":"104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0719C9" w:rsidRPr="000719C9">
        <w:rPr>
          <w:rFonts w:ascii="Calibri" w:hAnsi="Calibri" w:cs="Calibri"/>
          <w:szCs w:val="24"/>
          <w:vertAlign w:val="superscript"/>
        </w:rPr>
        <w:t>104</w:t>
      </w:r>
      <w:r w:rsidR="003007CE">
        <w:rPr>
          <w:lang w:val="en-US"/>
        </w:rPr>
        <w:fldChar w:fldCharType="end"/>
      </w:r>
      <w:r w:rsidR="00DE33CD">
        <w:rPr>
          <w:lang w:val="en-US"/>
        </w:rPr>
        <w:t>)</w:t>
      </w:r>
      <w:r w:rsidR="00D639BA">
        <w:rPr>
          <w:lang w:val="en-US"/>
        </w:rPr>
        <w:t xml:space="preserve">. See </w:t>
      </w:r>
      <w:r w:rsidR="00D639BA" w:rsidRPr="00A5530B">
        <w:rPr>
          <w:rStyle w:val="SubtitleChar"/>
        </w:rPr>
        <w:t>Supplementary Table S1</w:t>
      </w:r>
      <w:r w:rsidR="00D639BA">
        <w:rPr>
          <w:lang w:val="en-US"/>
        </w:rPr>
        <w:t xml:space="preserve"> for full breakdown</w:t>
      </w:r>
      <w:r w:rsidR="009F04F5">
        <w:rPr>
          <w:lang w:val="en-US"/>
        </w:rPr>
        <w:t xml:space="preserve"> of cell types and sample size</w:t>
      </w:r>
      <w:r w:rsidR="00D639BA">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0CE89C3D" w14:textId="6628A510" w:rsidR="004B3DD6" w:rsidRDefault="00C94E37" w:rsidP="005206DF">
      <w:pPr>
        <w:jc w:val="both"/>
        <w:rPr>
          <w:lang w:val="en-US"/>
        </w:rPr>
      </w:pPr>
      <w:r w:rsidRPr="00C94E37">
        <w:rPr>
          <w:b/>
          <w:bCs/>
          <w:lang w:val="en-US"/>
        </w:rPr>
        <w:t>Annotation:</w:t>
      </w:r>
      <w:r w:rsidR="00B954E7">
        <w:rPr>
          <w:lang w:val="en-US"/>
        </w:rPr>
        <w:t xml:space="preserve"> </w:t>
      </w:r>
      <w:r w:rsidR="00DA1028">
        <w:rPr>
          <w:lang w:val="en-US"/>
        </w:rPr>
        <w:t>Annotation for m</w:t>
      </w:r>
      <w:r w:rsidR="00D639BA">
        <w:rPr>
          <w:lang w:val="en-US"/>
        </w:rPr>
        <w:t>ethylation array data</w:t>
      </w:r>
      <w:r w:rsidR="00DA1028">
        <w:rPr>
          <w:lang w:val="en-US"/>
        </w:rPr>
        <w:t xml:space="preserve"> was obtained</w:t>
      </w:r>
      <w:r w:rsidR="00DA1028">
        <w:rPr>
          <w:lang w:val="en-US"/>
        </w:rPr>
        <w:fldChar w:fldCharType="begin"/>
      </w:r>
      <w:r w:rsidR="000719C9">
        <w:rPr>
          <w:lang w:val="en-US"/>
        </w:rPr>
        <w:instrText xml:space="preserve"> ADDIN ZOTERO_ITEM CSL_CITATION {"citationID":"Qv10Tukw","properties":{"formattedCitation":"\\super 105\\uc0\\u8211{}107\\nosupersub{}","plainCitation":"105–107","noteIndex":0},"citationItems":[{"id":1053,"uris":["http://zotero.org/users/local/oxMpWYo5/items/L8I532JR"],"uri":["http://zotero.org/users/local/oxMpWYo5/items/L8I532JR"],"itemData":{"id":1053,"type":"webpage","abstract":"IlluminaHumanMethylationEPICanno.ilm10b4.hg19: Annotation for Illumina's EPIC methylation arrays","container-title":"Bioconductor","language":"en-US","title":"IlluminaHumanMethylation27kanno.ilmn12.hg19","URL":"http://bioconductor.org/packages/IlluminaHumanMethylation27kanno.ilmn12.hg19/","author":[{"family":"Hansen","given":"KD"},{"family":"Fortin","given":"Jean-Philippe"}],"accessed":{"date-parts":[["2021",11,13]]}}},{"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0719C9" w:rsidRPr="000719C9">
        <w:rPr>
          <w:rFonts w:ascii="Calibri" w:hAnsi="Calibri" w:cs="Calibri"/>
          <w:szCs w:val="24"/>
          <w:vertAlign w:val="superscript"/>
        </w:rPr>
        <w:t>105–107</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DA7182">
        <w:rPr>
          <w:i/>
          <w:iCs/>
          <w:lang w:val="en-US"/>
        </w:rPr>
        <w:t>Minfi</w:t>
      </w:r>
      <w:proofErr w:type="spellEnd"/>
      <w:r w:rsidR="00D639BA">
        <w:rPr>
          <w:lang w:val="en-US"/>
        </w:rPr>
        <w:fldChar w:fldCharType="begin"/>
      </w:r>
      <w:r w:rsidR="000719C9">
        <w:rPr>
          <w:lang w:val="en-US"/>
        </w:rPr>
        <w:instrText xml:space="preserve"> ADDIN ZOTERO_ITEM CSL_CITATION {"citationID":"71p0QQMd","properties":{"formattedCitation":"\\super 108\\nosupersub{}","plainCitation":"108","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0719C9">
        <w:rPr>
          <w:rFonts w:ascii="Cambria Math" w:hAnsi="Cambria Math" w:cs="Cambria Math"/>
          <w:lang w:val="en-US"/>
        </w:rPr>
        <w:instrText>∼</w:instrText>
      </w:r>
      <w:r w:rsidR="000719C9">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108</w:t>
      </w:r>
      <w:r w:rsidR="00D639BA">
        <w:rPr>
          <w:lang w:val="en-US"/>
        </w:rPr>
        <w:fldChar w:fldCharType="end"/>
      </w:r>
      <w:r w:rsidR="00D639BA">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719C9">
        <w:rPr>
          <w:lang w:val="en-US"/>
        </w:rPr>
        <w:instrText xml:space="preserve"> ADDIN ZOTERO_ITEM CSL_CITATION {"citationID":"2YPjXByG","properties":{"formattedCitation":"\\super 68\\nosupersub{}","plainCitation":"68","noteIndex":0},"citationItems":[{"id":1003,"uris":["http://zotero.org/users/local/oxMpWYo5/items/AB26XYGU"],"uri":["http://zotero.org/users/local/oxMpWYo5/items/AB26XYGU"],"itemData":{"id":1003,"type":"article-journal","abstract":"Whole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719C9" w:rsidRPr="000719C9">
        <w:rPr>
          <w:rFonts w:ascii="Calibri" w:hAnsi="Calibri" w:cs="Calibri"/>
          <w:szCs w:val="24"/>
          <w:vertAlign w:val="superscript"/>
        </w:rPr>
        <w:t>68</w:t>
      </w:r>
      <w:r w:rsidR="00626E7F">
        <w:rPr>
          <w:lang w:val="en-US"/>
        </w:rPr>
        <w:fldChar w:fldCharType="end"/>
      </w:r>
      <w:r w:rsidR="00626E7F">
        <w:rPr>
          <w:lang w:val="en-US"/>
        </w:rPr>
        <w:t xml:space="preserve">, so are suitable for comparison. </w:t>
      </w:r>
      <w:r w:rsidR="00D639BA">
        <w:rPr>
          <w:lang w:val="en-US"/>
        </w:rPr>
        <w:t xml:space="preserve">All genome assemblies </w:t>
      </w:r>
      <w:r w:rsidR="0080184D">
        <w:rPr>
          <w:lang w:val="en-US"/>
        </w:rPr>
        <w:t xml:space="preserve">for sample data and reference probes </w:t>
      </w:r>
      <w:r w:rsidR="00D639BA">
        <w:rPr>
          <w:lang w:val="en-US"/>
        </w:rPr>
        <w:t xml:space="preserve">were translated to hg38 by the </w:t>
      </w:r>
      <w:proofErr w:type="spellStart"/>
      <w:r w:rsidR="00D639BA" w:rsidRPr="00DA7182">
        <w:rPr>
          <w:i/>
          <w:iCs/>
          <w:lang w:val="en-US"/>
        </w:rPr>
        <w:t>liftOver</w:t>
      </w:r>
      <w:proofErr w:type="spellEnd"/>
      <w:r w:rsidR="00D639BA">
        <w:rPr>
          <w:lang w:val="en-US"/>
        </w:rPr>
        <w:fldChar w:fldCharType="begin"/>
      </w:r>
      <w:r w:rsidR="000719C9">
        <w:rPr>
          <w:lang w:val="en-US"/>
        </w:rPr>
        <w:instrText xml:space="preserve"> ADDIN ZOTERO_ITEM CSL_CITATION {"citationID":"wgCBYf5y","properties":{"formattedCitation":"\\super 109\\nosupersub{}","plainCitation":"109","noteIndex":0},"citationItems":[{"id":850,"uris":["http://zotero.org/users/local/oxMpWYo5/items/2KY5TSJY"],"uri":["http://zotero.org/users/local/oxMpWYo5/items/2KY5TSJY"],"itemData":{"id":850,"type":"webpage","abstract":"The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109</w:t>
      </w:r>
      <w:r w:rsidR="00D639BA">
        <w:rPr>
          <w:lang w:val="en-US"/>
        </w:rPr>
        <w:fldChar w:fldCharType="end"/>
      </w:r>
      <w:r w:rsidR="00D639BA">
        <w:rPr>
          <w:lang w:val="en-US"/>
        </w:rPr>
        <w:t>. For data sourced from mouse models (</w:t>
      </w:r>
      <w:r w:rsidR="00D639BA" w:rsidRPr="00D259AE">
        <w:rPr>
          <w:lang w:val="en-US"/>
        </w:rPr>
        <w:t>GSE121483</w:t>
      </w:r>
      <w:r w:rsidR="00D639BA">
        <w:rPr>
          <w:lang w:val="en-US"/>
        </w:rPr>
        <w:t xml:space="preserve">), only the </w:t>
      </w:r>
      <w:r w:rsidR="00D639BA">
        <w:rPr>
          <w:color w:val="000000"/>
          <w:shd w:val="clear" w:color="auto" w:fill="FFFFFF"/>
        </w:rPr>
        <w:t>19</w:t>
      </w:r>
      <w:r w:rsidR="00127106">
        <w:rPr>
          <w:color w:val="000000"/>
          <w:shd w:val="clear" w:color="auto" w:fill="FFFFFF"/>
        </w:rPr>
        <w:t>,</w:t>
      </w:r>
      <w:r w:rsidR="00D639BA">
        <w:rPr>
          <w:color w:val="000000"/>
          <w:shd w:val="clear" w:color="auto" w:fill="FFFFFF"/>
        </w:rPr>
        <w:t xml:space="preserve">420 </w:t>
      </w:r>
      <w:r w:rsidR="00D639BA">
        <w:rPr>
          <w:lang w:val="en-US"/>
        </w:rPr>
        <w:t>probes conserved with humans were kept</w:t>
      </w:r>
      <w:r w:rsidR="00D639BA">
        <w:rPr>
          <w:lang w:val="en-US"/>
        </w:rPr>
        <w:fldChar w:fldCharType="begin"/>
      </w:r>
      <w:r w:rsidR="000719C9">
        <w:rPr>
          <w:lang w:val="en-US"/>
        </w:rPr>
        <w:instrText xml:space="preserve"> ADDIN ZOTERO_ITEM CSL_CITATION {"citationID":"Ke4A1dVR","properties":{"formattedCitation":"\\super 110\\nosupersub{}","plainCitation":"110","noteIndex":0},"citationItems":[{"id":858,"uris":["http://zotero.org/users/local/oxMpWYo5/items/BYKHKMET"],"uri":["http://zotero.org/users/local/oxMpWYo5/items/BYKHKMET"],"itemData":{"id":858,"type":"article-journal","abstract":"The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110</w:t>
      </w:r>
      <w:r w:rsidR="00D639BA">
        <w:rPr>
          <w:lang w:val="en-US"/>
        </w:rPr>
        <w:fldChar w:fldCharType="end"/>
      </w:r>
      <w:r w:rsidR="00D639BA">
        <w:rPr>
          <w:lang w:val="en-US"/>
        </w:rPr>
        <w:t>, and it has been show that CpG methylation for glial cells is highly conserved between mice and humans</w:t>
      </w:r>
      <w:r w:rsidR="00D639BA">
        <w:rPr>
          <w:lang w:val="en-US"/>
        </w:rPr>
        <w:fldChar w:fldCharType="begin"/>
      </w:r>
      <w:r w:rsidR="000719C9">
        <w:rPr>
          <w:lang w:val="en-US"/>
        </w:rPr>
        <w:instrText xml:space="preserve"> ADDIN ZOTERO_ITEM CSL_CITATION {"citationID":"lGqrQypG","properties":{"formattedCitation":"\\super 111\\nosupersub{}","plainCitation":"111","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111</w:t>
      </w:r>
      <w:r w:rsidR="00D639BA">
        <w:rPr>
          <w:lang w:val="en-US"/>
        </w:rPr>
        <w:fldChar w:fldCharType="end"/>
      </w:r>
      <w:r w:rsidR="00D639BA">
        <w:rPr>
          <w:lang w:val="en-US"/>
        </w:rPr>
        <w:t xml:space="preserve">. </w:t>
      </w:r>
    </w:p>
    <w:p w14:paraId="4BCEFDC6" w14:textId="3BD88ED9" w:rsidR="009A2612" w:rsidRDefault="00917AA2" w:rsidP="00917AA2">
      <w:pPr>
        <w:pStyle w:val="Heading3"/>
        <w:rPr>
          <w:lang w:val="en-US"/>
        </w:rPr>
      </w:pPr>
      <w:bookmarkStart w:id="47" w:name="_Toc88049369"/>
      <w:r>
        <w:rPr>
          <w:lang w:val="en-US"/>
        </w:rPr>
        <w:t>Cell deconvolution</w:t>
      </w:r>
      <w:bookmarkEnd w:id="47"/>
    </w:p>
    <w:p w14:paraId="606FBD3A" w14:textId="4004CEF0" w:rsidR="006A3DBA" w:rsidRDefault="006A3DBA" w:rsidP="006A3DBA">
      <w:pPr>
        <w:rPr>
          <w:lang w:val="en-US"/>
        </w:rPr>
      </w:pPr>
      <w:r w:rsidRPr="006A3DBA">
        <w:rPr>
          <w:b/>
          <w:bCs/>
          <w:lang w:val="en-US"/>
        </w:rPr>
        <w:t xml:space="preserve">Tumor cell separation: </w:t>
      </w:r>
      <w:r>
        <w:rPr>
          <w:lang w:val="en-US"/>
        </w:rPr>
        <w:t xml:space="preserve">Cell type annotation was given for most obtained samples. For un- or under-annotated </w:t>
      </w:r>
      <w:r w:rsidR="000B6FDB">
        <w:rPr>
          <w:lang w:val="en-US"/>
        </w:rPr>
        <w:t xml:space="preserve">glioma </w:t>
      </w:r>
      <w:r>
        <w:rPr>
          <w:lang w:val="en-US"/>
        </w:rPr>
        <w:t xml:space="preserve">data sets, tumor cells were identified by glioma-specific CpG probes taken from </w:t>
      </w:r>
      <w:r w:rsidRPr="00D25646">
        <w:rPr>
          <w:lang w:val="en-US"/>
        </w:rPr>
        <w:t>by a previous TCGA bulk DNA methylation study</w:t>
      </w:r>
      <w:r>
        <w:rPr>
          <w:lang w:val="en-US"/>
        </w:rPr>
        <w:fldChar w:fldCharType="begin"/>
      </w:r>
      <w:r w:rsidR="000719C9">
        <w:rPr>
          <w:lang w:val="en-US"/>
        </w:rPr>
        <w:instrText xml:space="preserve"> ADDIN ZOTERO_ITEM CSL_CITATION {"citationID":"pU82v8CD","properties":{"formattedCitation":"\\super 112\\nosupersub{}","plainCitation":"112","noteIndex":0},"citationItems":[{"id":1059,"uris":["http://zotero.org/users/local/oxMpWYo5/items/A6ER5KXC"],"uri":["http://zotero.org/users/local/oxMpWYo5/items/A6ER5KXC"],"itemData":{"id":1059,"type":"article-journal","abstract":"Therapy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112</w:t>
      </w:r>
      <w:r>
        <w:rPr>
          <w:lang w:val="en-US"/>
        </w:rPr>
        <w:fldChar w:fldCharType="end"/>
      </w:r>
      <w:r>
        <w:rPr>
          <w:lang w:val="en-US"/>
        </w:rPr>
        <w:t xml:space="preserve">. A window of 1000 bp was defined for each probe and average </w:t>
      </w:r>
      <w:r w:rsidR="00AD5711">
        <w:rPr>
          <w:lang w:val="en-US"/>
        </w:rPr>
        <w:t>beta value</w:t>
      </w:r>
      <w:r>
        <w:rPr>
          <w:lang w:val="en-US"/>
        </w:rPr>
        <w:t xml:space="preserve"> was taken. For overlapping windows, they were combined and tiled into a minimum number of 1000 bp windows.</w:t>
      </w:r>
      <w:r>
        <w:rPr>
          <w:lang w:val="en-US"/>
        </w:rPr>
        <w:t xml:space="preserve"> </w:t>
      </w:r>
    </w:p>
    <w:p w14:paraId="782A58FC" w14:textId="77777777" w:rsidR="00EC7DB7" w:rsidRDefault="00EC7DB7" w:rsidP="006A3DBA">
      <w:pPr>
        <w:rPr>
          <w:lang w:val="en-US"/>
        </w:rPr>
      </w:pP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57"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57"/>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8" w:name="_Ref87454299"/>
            <w:bookmarkStart w:id="59"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8"/>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59"/>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60" w:name="_Toc88049378"/>
      <w:r>
        <w:rPr>
          <w:lang w:val="en-US"/>
        </w:rPr>
        <w:lastRenderedPageBreak/>
        <w:t>References</w:t>
      </w:r>
      <w:bookmarkEnd w:id="60"/>
    </w:p>
    <w:p w14:paraId="2CBFEC36" w14:textId="77777777" w:rsidR="00032228" w:rsidRDefault="004B59C1" w:rsidP="00032228">
      <w:pPr>
        <w:pStyle w:val="Bibliography"/>
      </w:pPr>
      <w:r w:rsidRPr="00C41223">
        <w:rPr>
          <w:lang w:val="en-US"/>
        </w:rPr>
        <w:fldChar w:fldCharType="begin"/>
      </w:r>
      <w:r w:rsidR="00C34D58">
        <w:rPr>
          <w:lang w:val="en-US"/>
        </w:rPr>
        <w:instrText xml:space="preserve"> ADDIN ZOTERO_BIBL {"uncited":[],"omitted":[],"custom":[]} CSL_BIBLIOGRAPHY </w:instrText>
      </w:r>
      <w:r w:rsidRPr="00C41223">
        <w:rPr>
          <w:lang w:val="en-US"/>
        </w:rPr>
        <w:fldChar w:fldCharType="separate"/>
      </w:r>
      <w:r w:rsidR="00032228">
        <w:t>1.</w:t>
      </w:r>
      <w:r w:rsidR="00032228">
        <w:tab/>
      </w:r>
      <w:proofErr w:type="spellStart"/>
      <w:r w:rsidR="00032228">
        <w:t>Wolffe</w:t>
      </w:r>
      <w:proofErr w:type="spellEnd"/>
      <w:r w:rsidR="00032228">
        <w:t xml:space="preserve">, A. P. &amp; Matzke, M. A. Epigenetics: Regulation Through Repression. </w:t>
      </w:r>
      <w:r w:rsidR="00032228">
        <w:rPr>
          <w:i/>
          <w:iCs/>
        </w:rPr>
        <w:t>Science</w:t>
      </w:r>
      <w:r w:rsidR="00032228">
        <w:t xml:space="preserve"> </w:t>
      </w:r>
      <w:r w:rsidR="00032228">
        <w:rPr>
          <w:b/>
          <w:bCs/>
        </w:rPr>
        <w:t>286</w:t>
      </w:r>
      <w:r w:rsidR="00032228">
        <w:t>, 481–486 (1999).</w:t>
      </w:r>
    </w:p>
    <w:p w14:paraId="59D59F85" w14:textId="77777777" w:rsidR="00032228" w:rsidRDefault="00032228" w:rsidP="00032228">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73558B3A" w14:textId="77777777" w:rsidR="00032228" w:rsidRDefault="00032228" w:rsidP="00032228">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33CB2F13" w14:textId="77777777" w:rsidR="00032228" w:rsidRDefault="00032228" w:rsidP="00032228">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14D9C140" w14:textId="77777777" w:rsidR="00032228" w:rsidRDefault="00032228" w:rsidP="00032228">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00D76376" w14:textId="77777777" w:rsidR="00032228" w:rsidRDefault="00032228" w:rsidP="00032228">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620F439D" w14:textId="77777777" w:rsidR="00032228" w:rsidRDefault="00032228" w:rsidP="00032228">
      <w:pPr>
        <w:pStyle w:val="Bibliography"/>
      </w:pPr>
      <w:r>
        <w:t>7.</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7EA1BC25" w14:textId="77777777" w:rsidR="00032228" w:rsidRDefault="00032228" w:rsidP="00032228">
      <w:pPr>
        <w:pStyle w:val="Bibliography"/>
      </w:pPr>
      <w:r>
        <w:t>8.</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1DBBC224" w14:textId="77777777" w:rsidR="00032228" w:rsidRDefault="00032228" w:rsidP="00032228">
      <w:pPr>
        <w:pStyle w:val="Bibliography"/>
      </w:pPr>
      <w:r>
        <w:t>9.</w:t>
      </w:r>
      <w:r>
        <w:tab/>
        <w:t xml:space="preserve">Bird, A. P. DNA methylation and the frequency of CpG in animal DNA. </w:t>
      </w:r>
      <w:r>
        <w:rPr>
          <w:i/>
          <w:iCs/>
        </w:rPr>
        <w:t>Nucleic Acids Res</w:t>
      </w:r>
      <w:r>
        <w:t xml:space="preserve"> </w:t>
      </w:r>
      <w:r>
        <w:rPr>
          <w:b/>
          <w:bCs/>
        </w:rPr>
        <w:t>8</w:t>
      </w:r>
      <w:r>
        <w:t>, 1499–1504 (1980).</w:t>
      </w:r>
    </w:p>
    <w:p w14:paraId="4713ABBB" w14:textId="77777777" w:rsidR="00032228" w:rsidRDefault="00032228" w:rsidP="00032228">
      <w:pPr>
        <w:pStyle w:val="Bibliography"/>
      </w:pPr>
      <w:r>
        <w:t>10.</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58AFF7CE" w14:textId="77777777" w:rsidR="00032228" w:rsidRDefault="00032228" w:rsidP="00032228">
      <w:pPr>
        <w:pStyle w:val="Bibliography"/>
      </w:pPr>
      <w:r>
        <w:t>11.</w:t>
      </w:r>
      <w:r>
        <w:tab/>
        <w:t xml:space="preserve">Gagliardi, M., </w:t>
      </w:r>
      <w:proofErr w:type="spellStart"/>
      <w:r>
        <w:t>Strazzullo</w:t>
      </w:r>
      <w:proofErr w:type="spellEnd"/>
      <w:r>
        <w:t xml:space="preserve">, M. &amp; Matarazzo, M. R. DNMT3B Functions: Novel Insights From Human Disease. </w:t>
      </w:r>
      <w:r>
        <w:rPr>
          <w:i/>
          <w:iCs/>
        </w:rPr>
        <w:t>Frontiers in Cell and Developmental Biology</w:t>
      </w:r>
      <w:r>
        <w:t xml:space="preserve"> </w:t>
      </w:r>
      <w:r>
        <w:rPr>
          <w:b/>
          <w:bCs/>
        </w:rPr>
        <w:t>6</w:t>
      </w:r>
      <w:r>
        <w:t>, 140 (2018).</w:t>
      </w:r>
    </w:p>
    <w:p w14:paraId="71C26FA0" w14:textId="77777777" w:rsidR="00032228" w:rsidRDefault="00032228" w:rsidP="00032228">
      <w:pPr>
        <w:pStyle w:val="Bibliography"/>
      </w:pPr>
      <w:r>
        <w:lastRenderedPageBreak/>
        <w:t>12.</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4B414C81" w14:textId="77777777" w:rsidR="00032228" w:rsidRDefault="00032228" w:rsidP="00032228">
      <w:pPr>
        <w:pStyle w:val="Bibliography"/>
      </w:pPr>
      <w:r>
        <w:t>13.</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2320C29D" w14:textId="77777777" w:rsidR="00032228" w:rsidRDefault="00032228" w:rsidP="00032228">
      <w:pPr>
        <w:pStyle w:val="Bibliography"/>
      </w:pPr>
      <w:r>
        <w:t>14.</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3AD6BB08" w14:textId="77777777" w:rsidR="00032228" w:rsidRDefault="00032228" w:rsidP="00032228">
      <w:pPr>
        <w:pStyle w:val="Bibliography"/>
      </w:pPr>
      <w:r>
        <w:t>15.</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5AD1EC02" w14:textId="77777777" w:rsidR="00032228" w:rsidRDefault="00032228" w:rsidP="00032228">
      <w:pPr>
        <w:pStyle w:val="Bibliography"/>
      </w:pPr>
      <w:r>
        <w:t>16.</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4257FB38" w14:textId="77777777" w:rsidR="00032228" w:rsidRDefault="00032228" w:rsidP="00032228">
      <w:pPr>
        <w:pStyle w:val="Bibliography"/>
      </w:pPr>
      <w:r>
        <w:t>17.</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444D5BCD" w14:textId="77777777" w:rsidR="00032228" w:rsidRDefault="00032228" w:rsidP="00032228">
      <w:pPr>
        <w:pStyle w:val="Bibliography"/>
      </w:pPr>
      <w:r>
        <w:t>18.</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66C793BF" w14:textId="77777777" w:rsidR="00032228" w:rsidRDefault="00032228" w:rsidP="00032228">
      <w:pPr>
        <w:pStyle w:val="Bibliography"/>
      </w:pPr>
      <w:r>
        <w:t>19.</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117C0325" w14:textId="77777777" w:rsidR="00032228" w:rsidRDefault="00032228" w:rsidP="00032228">
      <w:pPr>
        <w:pStyle w:val="Bibliography"/>
      </w:pPr>
      <w:r>
        <w:t>20.</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5D91667A" w14:textId="77777777" w:rsidR="00032228" w:rsidRDefault="00032228" w:rsidP="00032228">
      <w:pPr>
        <w:pStyle w:val="Bibliography"/>
      </w:pPr>
      <w:r>
        <w:t>21.</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2E152D77" w14:textId="77777777" w:rsidR="00032228" w:rsidRDefault="00032228" w:rsidP="00032228">
      <w:pPr>
        <w:pStyle w:val="Bibliography"/>
      </w:pPr>
      <w:r>
        <w:t>22.</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7D7DEB38" w14:textId="77777777" w:rsidR="00032228" w:rsidRDefault="00032228" w:rsidP="00032228">
      <w:pPr>
        <w:pStyle w:val="Bibliography"/>
      </w:pPr>
      <w:r>
        <w:lastRenderedPageBreak/>
        <w:t>23.</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62B5BE00" w14:textId="77777777" w:rsidR="00032228" w:rsidRDefault="00032228" w:rsidP="00032228">
      <w:pPr>
        <w:pStyle w:val="Bibliography"/>
      </w:pPr>
      <w:r>
        <w:t>24.</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7146ED2C" w14:textId="77777777" w:rsidR="00032228" w:rsidRDefault="00032228" w:rsidP="00032228">
      <w:pPr>
        <w:pStyle w:val="Bibliography"/>
      </w:pPr>
      <w:r>
        <w:t>25.</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4905B5C2" w14:textId="77777777" w:rsidR="00032228" w:rsidRDefault="00032228" w:rsidP="00032228">
      <w:pPr>
        <w:pStyle w:val="Bibliography"/>
      </w:pPr>
      <w:r>
        <w:t>26.</w:t>
      </w:r>
      <w:r>
        <w:tab/>
      </w:r>
      <w:proofErr w:type="spellStart"/>
      <w:r>
        <w:t>Horsthemke</w:t>
      </w:r>
      <w:proofErr w:type="spellEnd"/>
      <w:r>
        <w:t xml:space="preserve">, B. Epimutations in Human Disease. in </w:t>
      </w:r>
      <w:r>
        <w:rPr>
          <w:i/>
          <w:iCs/>
        </w:rPr>
        <w:t>DNA Methylation: Development, Genetic Disease and Cancer</w:t>
      </w:r>
      <w:r>
        <w:t xml:space="preserve"> (eds. </w:t>
      </w:r>
      <w:proofErr w:type="spellStart"/>
      <w:r>
        <w:t>Doerfler</w:t>
      </w:r>
      <w:proofErr w:type="spellEnd"/>
      <w:r>
        <w:t xml:space="preserve">, W. &amp; </w:t>
      </w:r>
      <w:proofErr w:type="spellStart"/>
      <w:r>
        <w:t>Böhm</w:t>
      </w:r>
      <w:proofErr w:type="spellEnd"/>
      <w:r>
        <w:t>, P.) 45–59 (Springer, 2006). doi:10.1007/3-540-31181-5_4.</w:t>
      </w:r>
    </w:p>
    <w:p w14:paraId="7B1AA838" w14:textId="77777777" w:rsidR="00032228" w:rsidRDefault="00032228" w:rsidP="00032228">
      <w:pPr>
        <w:pStyle w:val="Bibliography"/>
      </w:pPr>
      <w:r>
        <w:t>27.</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48B456E4" w14:textId="77777777" w:rsidR="00032228" w:rsidRDefault="00032228" w:rsidP="00032228">
      <w:pPr>
        <w:pStyle w:val="Bibliography"/>
      </w:pPr>
      <w:r>
        <w:t>28.</w:t>
      </w:r>
      <w:r>
        <w:tab/>
        <w:t xml:space="preserve">Chu, M. </w:t>
      </w:r>
      <w:r>
        <w:rPr>
          <w:i/>
          <w:iCs/>
        </w:rPr>
        <w:t>et al.</w:t>
      </w:r>
      <w:r>
        <w:t xml:space="preserve"> Inferring relative numbers of human leucocyte genome replications. </w:t>
      </w:r>
      <w:r>
        <w:rPr>
          <w:i/>
          <w:iCs/>
        </w:rPr>
        <w:t>British Journal of Haematology</w:t>
      </w:r>
      <w:r>
        <w:t xml:space="preserve"> </w:t>
      </w:r>
      <w:r>
        <w:rPr>
          <w:b/>
          <w:bCs/>
        </w:rPr>
        <w:t>141</w:t>
      </w:r>
      <w:r>
        <w:t>, 862–871 (2008).</w:t>
      </w:r>
    </w:p>
    <w:p w14:paraId="49764E0E" w14:textId="77777777" w:rsidR="00032228" w:rsidRDefault="00032228" w:rsidP="00032228">
      <w:pPr>
        <w:pStyle w:val="Bibliography"/>
      </w:pPr>
      <w:r>
        <w:t>29.</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5A9D5822" w14:textId="77777777" w:rsidR="00032228" w:rsidRDefault="00032228" w:rsidP="00032228">
      <w:pPr>
        <w:pStyle w:val="Bibliography"/>
      </w:pPr>
      <w:r>
        <w:t>30.</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614B0384" w14:textId="77777777" w:rsidR="00032228" w:rsidRDefault="00032228" w:rsidP="00032228">
      <w:pPr>
        <w:pStyle w:val="Bibliography"/>
      </w:pPr>
      <w:r>
        <w:t>31.</w:t>
      </w:r>
      <w:r>
        <w:tab/>
        <w:t>In utero undernourishment perturbs the adult sperm methylome and intergenerational metabolism. https://www.science.org/doi/10.1126/science.1255903.</w:t>
      </w:r>
    </w:p>
    <w:p w14:paraId="15D2BFC3" w14:textId="77777777" w:rsidR="00032228" w:rsidRDefault="00032228" w:rsidP="00032228">
      <w:pPr>
        <w:pStyle w:val="Bibliography"/>
      </w:pPr>
      <w:r>
        <w:t>32.</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51136964" w14:textId="77777777" w:rsidR="00032228" w:rsidRDefault="00032228" w:rsidP="00032228">
      <w:pPr>
        <w:pStyle w:val="Bibliography"/>
      </w:pPr>
      <w:r>
        <w:t>33.</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70BEFB17" w14:textId="77777777" w:rsidR="00032228" w:rsidRDefault="00032228" w:rsidP="00032228">
      <w:pPr>
        <w:pStyle w:val="Bibliography"/>
      </w:pPr>
      <w:r>
        <w:t>34.</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69B3926C" w14:textId="77777777" w:rsidR="00032228" w:rsidRDefault="00032228" w:rsidP="00032228">
      <w:pPr>
        <w:pStyle w:val="Bibliography"/>
      </w:pPr>
      <w:r>
        <w:lastRenderedPageBreak/>
        <w:t>35.</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290516D2" w14:textId="77777777" w:rsidR="00032228" w:rsidRDefault="00032228" w:rsidP="00032228">
      <w:pPr>
        <w:pStyle w:val="Bibliography"/>
      </w:pPr>
      <w:r>
        <w:t>36.</w:t>
      </w:r>
      <w:r>
        <w:tab/>
      </w:r>
      <w:proofErr w:type="spellStart"/>
      <w:r>
        <w:t>Zoghbi</w:t>
      </w:r>
      <w:proofErr w:type="spellEnd"/>
      <w:r>
        <w:t xml:space="preserve">, H. Y. &amp; Beaudet, A. L. Epigenetics and Human Disease.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8</w:t>
      </w:r>
      <w:r>
        <w:t>, a019497 (2016).</w:t>
      </w:r>
    </w:p>
    <w:p w14:paraId="43494B1C" w14:textId="77777777" w:rsidR="00032228" w:rsidRDefault="00032228" w:rsidP="00032228">
      <w:pPr>
        <w:pStyle w:val="Bibliography"/>
      </w:pPr>
      <w:r>
        <w:t>37.</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6DD33C53" w14:textId="77777777" w:rsidR="00032228" w:rsidRDefault="00032228" w:rsidP="00032228">
      <w:pPr>
        <w:pStyle w:val="Bibliography"/>
      </w:pPr>
      <w:r>
        <w:t>38.</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5BBE1D1C" w14:textId="77777777" w:rsidR="00032228" w:rsidRDefault="00032228" w:rsidP="00032228">
      <w:pPr>
        <w:pStyle w:val="Bibliography"/>
      </w:pPr>
      <w:r>
        <w:t>39.</w:t>
      </w:r>
      <w:r>
        <w:tab/>
        <w:t xml:space="preserve">Ehrlich, M. DNA methylation in cancer: too much, but also too little. </w:t>
      </w:r>
      <w:r>
        <w:rPr>
          <w:i/>
          <w:iCs/>
        </w:rPr>
        <w:t>Oncogene</w:t>
      </w:r>
      <w:r>
        <w:t xml:space="preserve"> </w:t>
      </w:r>
      <w:r>
        <w:rPr>
          <w:b/>
          <w:bCs/>
        </w:rPr>
        <w:t>21</w:t>
      </w:r>
      <w:r>
        <w:t>, 5400–5413 (2002).</w:t>
      </w:r>
    </w:p>
    <w:p w14:paraId="276F96D0" w14:textId="77777777" w:rsidR="00032228" w:rsidRDefault="00032228" w:rsidP="00032228">
      <w:pPr>
        <w:pStyle w:val="Bibliography"/>
      </w:pPr>
      <w:r>
        <w:t>40.</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7EF962A8" w14:textId="77777777" w:rsidR="00032228" w:rsidRDefault="00032228" w:rsidP="00032228">
      <w:pPr>
        <w:pStyle w:val="Bibliography"/>
      </w:pPr>
      <w:r>
        <w:t>41.</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404AB09B" w14:textId="77777777" w:rsidR="00032228" w:rsidRDefault="00032228" w:rsidP="00032228">
      <w:pPr>
        <w:pStyle w:val="Bibliography"/>
      </w:pPr>
      <w:r>
        <w:t>42.</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0C66019B" w14:textId="77777777" w:rsidR="00032228" w:rsidRPr="00032228" w:rsidRDefault="00032228" w:rsidP="00032228">
      <w:pPr>
        <w:pStyle w:val="Bibliography"/>
        <w:rPr>
          <w:lang w:val="sv-SE"/>
        </w:rPr>
      </w:pPr>
      <w:r>
        <w:t>43.</w:t>
      </w:r>
      <w:r>
        <w:tab/>
      </w:r>
      <w:proofErr w:type="spellStart"/>
      <w:r>
        <w:t>Plass</w:t>
      </w:r>
      <w:proofErr w:type="spellEnd"/>
      <w:r>
        <w:t xml:space="preserve">, C. &amp; Soloway, P. D. DNA methylation, imprinting and cancer. </w:t>
      </w:r>
      <w:r w:rsidRPr="00032228">
        <w:rPr>
          <w:i/>
          <w:iCs/>
          <w:lang w:val="sv-SE"/>
        </w:rPr>
        <w:t>Eur J Hum Genet</w:t>
      </w:r>
      <w:r w:rsidRPr="00032228">
        <w:rPr>
          <w:lang w:val="sv-SE"/>
        </w:rPr>
        <w:t xml:space="preserve"> </w:t>
      </w:r>
      <w:r w:rsidRPr="00032228">
        <w:rPr>
          <w:b/>
          <w:bCs/>
          <w:lang w:val="sv-SE"/>
        </w:rPr>
        <w:t>10</w:t>
      </w:r>
      <w:r w:rsidRPr="00032228">
        <w:rPr>
          <w:lang w:val="sv-SE"/>
        </w:rPr>
        <w:t>, 6–16 (2002).</w:t>
      </w:r>
    </w:p>
    <w:p w14:paraId="40583BE0" w14:textId="77777777" w:rsidR="00032228" w:rsidRPr="00032228" w:rsidRDefault="00032228" w:rsidP="00032228">
      <w:pPr>
        <w:pStyle w:val="Bibliography"/>
        <w:rPr>
          <w:lang w:val="sv-SE"/>
        </w:rPr>
      </w:pPr>
      <w:r w:rsidRPr="00032228">
        <w:rPr>
          <w:lang w:val="sv-SE"/>
        </w:rPr>
        <w:t>44.</w:t>
      </w:r>
      <w:r w:rsidRPr="00032228">
        <w:rPr>
          <w:lang w:val="sv-SE"/>
        </w:rPr>
        <w:tab/>
        <w:t xml:space="preserve">Weller, M. </w:t>
      </w:r>
      <w:r w:rsidRPr="00032228">
        <w:rPr>
          <w:i/>
          <w:iCs/>
          <w:lang w:val="sv-SE"/>
        </w:rPr>
        <w:t>et al.</w:t>
      </w:r>
      <w:r w:rsidRPr="00032228">
        <w:rPr>
          <w:lang w:val="sv-SE"/>
        </w:rPr>
        <w:t xml:space="preserve"> Glioma. </w:t>
      </w:r>
      <w:r w:rsidRPr="00032228">
        <w:rPr>
          <w:i/>
          <w:iCs/>
          <w:lang w:val="sv-SE"/>
        </w:rPr>
        <w:t>Nat Rev Dis Primers</w:t>
      </w:r>
      <w:r w:rsidRPr="00032228">
        <w:rPr>
          <w:lang w:val="sv-SE"/>
        </w:rPr>
        <w:t xml:space="preserve"> </w:t>
      </w:r>
      <w:r w:rsidRPr="00032228">
        <w:rPr>
          <w:b/>
          <w:bCs/>
          <w:lang w:val="sv-SE"/>
        </w:rPr>
        <w:t>1</w:t>
      </w:r>
      <w:r w:rsidRPr="00032228">
        <w:rPr>
          <w:lang w:val="sv-SE"/>
        </w:rPr>
        <w:t>, 1–18 (2015).</w:t>
      </w:r>
    </w:p>
    <w:p w14:paraId="13FDCC6E" w14:textId="77777777" w:rsidR="00032228" w:rsidRDefault="00032228" w:rsidP="00032228">
      <w:pPr>
        <w:pStyle w:val="Bibliography"/>
      </w:pPr>
      <w:r w:rsidRPr="00032228">
        <w:rPr>
          <w:lang w:val="sv-SE"/>
        </w:rPr>
        <w:t>45.</w:t>
      </w:r>
      <w:r w:rsidRPr="00032228">
        <w:rPr>
          <w:lang w:val="sv-SE"/>
        </w:rPr>
        <w:tab/>
        <w:t xml:space="preserve">Leece, R. </w:t>
      </w:r>
      <w:r w:rsidRPr="00032228">
        <w:rPr>
          <w:i/>
          <w:iCs/>
          <w:lang w:val="sv-SE"/>
        </w:rPr>
        <w:t>et al.</w:t>
      </w:r>
      <w:r w:rsidRPr="00032228">
        <w:rPr>
          <w:lang w:val="sv-SE"/>
        </w:rPr>
        <w:t xml:space="preserve"> </w:t>
      </w:r>
      <w:r>
        <w:t xml:space="preserve">Global incidence of malignant brain and other central nervous system tumors by histology, 2003-2007. </w:t>
      </w:r>
      <w:r>
        <w:rPr>
          <w:i/>
          <w:iCs/>
        </w:rPr>
        <w:t>Neuro Oncol</w:t>
      </w:r>
      <w:r>
        <w:t xml:space="preserve"> </w:t>
      </w:r>
      <w:r>
        <w:rPr>
          <w:b/>
          <w:bCs/>
        </w:rPr>
        <w:t>19</w:t>
      </w:r>
      <w:r>
        <w:t>, 1553–1564 (2017).</w:t>
      </w:r>
    </w:p>
    <w:p w14:paraId="0A985974" w14:textId="77777777" w:rsidR="00032228" w:rsidRDefault="00032228" w:rsidP="00032228">
      <w:pPr>
        <w:pStyle w:val="Bibliography"/>
      </w:pPr>
      <w:r>
        <w:lastRenderedPageBreak/>
        <w:t>46.</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11AC612E" w14:textId="77777777" w:rsidR="00032228" w:rsidRDefault="00032228" w:rsidP="00032228">
      <w:pPr>
        <w:pStyle w:val="Bibliography"/>
      </w:pPr>
      <w:r>
        <w:t>47.</w:t>
      </w:r>
      <w:r>
        <w:tab/>
        <w:t>Lozano-</w:t>
      </w:r>
      <w:proofErr w:type="spellStart"/>
      <w:r>
        <w:t>Ureña</w:t>
      </w:r>
      <w:proofErr w:type="spellEnd"/>
      <w:r>
        <w:t xml:space="preserve">, A. </w:t>
      </w:r>
      <w:r>
        <w:rPr>
          <w:i/>
          <w:iCs/>
        </w:rPr>
        <w:t>et al.</w:t>
      </w:r>
      <w:r>
        <w:t xml:space="preserve"> Aberrations of Genomic Imprinting in Glioblastoma Formation. </w:t>
      </w:r>
      <w:r>
        <w:rPr>
          <w:i/>
          <w:iCs/>
        </w:rPr>
        <w:t>Frontiers in Oncology</w:t>
      </w:r>
      <w:r>
        <w:t xml:space="preserve"> </w:t>
      </w:r>
      <w:r>
        <w:rPr>
          <w:b/>
          <w:bCs/>
        </w:rPr>
        <w:t>11</w:t>
      </w:r>
      <w:r>
        <w:t>, 618 (2021).</w:t>
      </w:r>
    </w:p>
    <w:p w14:paraId="1D18D15E" w14:textId="77777777" w:rsidR="00032228" w:rsidRDefault="00032228" w:rsidP="00032228">
      <w:pPr>
        <w:pStyle w:val="Bibliography"/>
      </w:pPr>
      <w:r>
        <w:t>48.</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5C24CAB4" w14:textId="77777777" w:rsidR="00032228" w:rsidRDefault="00032228" w:rsidP="00032228">
      <w:pPr>
        <w:pStyle w:val="Bibliography"/>
      </w:pPr>
      <w:r>
        <w:t>49.</w:t>
      </w:r>
      <w:r>
        <w:tab/>
        <w:t xml:space="preserve">Quail, D. F. &amp; Joyce, J. A. The microenvironmental landscape of brain tumors. </w:t>
      </w:r>
      <w:r>
        <w:rPr>
          <w:i/>
          <w:iCs/>
        </w:rPr>
        <w:t>Cancer Cell</w:t>
      </w:r>
      <w:r>
        <w:t xml:space="preserve"> </w:t>
      </w:r>
      <w:r>
        <w:rPr>
          <w:b/>
          <w:bCs/>
        </w:rPr>
        <w:t>31</w:t>
      </w:r>
      <w:r>
        <w:t>, 326–341 (2017).</w:t>
      </w:r>
    </w:p>
    <w:p w14:paraId="0A814724" w14:textId="77777777" w:rsidR="00032228" w:rsidRDefault="00032228" w:rsidP="00032228">
      <w:pPr>
        <w:pStyle w:val="Bibliography"/>
      </w:pPr>
      <w:r>
        <w:t>50.</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1C92EB33" w14:textId="77777777" w:rsidR="00032228" w:rsidRDefault="00032228" w:rsidP="00032228">
      <w:pPr>
        <w:pStyle w:val="Bibliography"/>
      </w:pPr>
      <w:r>
        <w:t>51.</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4B55C311" w14:textId="77777777" w:rsidR="00032228" w:rsidRDefault="00032228" w:rsidP="00032228">
      <w:pPr>
        <w:pStyle w:val="Bibliography"/>
      </w:pPr>
      <w:r>
        <w:t>52.</w:t>
      </w:r>
      <w:r>
        <w:tab/>
      </w:r>
      <w:proofErr w:type="spellStart"/>
      <w:r>
        <w:t>Djukic</w:t>
      </w:r>
      <w:proofErr w:type="spellEnd"/>
      <w:r>
        <w:t xml:space="preserve">,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34293E37" w14:textId="77777777" w:rsidR="00032228" w:rsidRDefault="00032228" w:rsidP="00032228">
      <w:pPr>
        <w:pStyle w:val="Bibliography"/>
      </w:pPr>
      <w:r>
        <w:t>53.</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2D44920F" w14:textId="77777777" w:rsidR="00032228" w:rsidRDefault="00032228" w:rsidP="00032228">
      <w:pPr>
        <w:pStyle w:val="Bibliography"/>
      </w:pPr>
      <w:r>
        <w:t>54.</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3AA40744" w14:textId="77777777" w:rsidR="00032228" w:rsidRDefault="00032228" w:rsidP="00032228">
      <w:pPr>
        <w:pStyle w:val="Bibliography"/>
      </w:pPr>
      <w:r>
        <w:t>55.</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41B78FEC" w14:textId="77777777" w:rsidR="00032228" w:rsidRDefault="00032228" w:rsidP="00032228">
      <w:pPr>
        <w:pStyle w:val="Bibliography"/>
      </w:pPr>
      <w:r>
        <w:t>56.</w:t>
      </w:r>
      <w:r>
        <w:tab/>
        <w:t xml:space="preserve">Pan, Y., Yu, Y., Wang, X. &amp; Zhang, T. Tumor-Associated Macrophages in Tumor Immunity. </w:t>
      </w:r>
      <w:r>
        <w:rPr>
          <w:i/>
          <w:iCs/>
        </w:rPr>
        <w:t>Frontiers in Immunology</w:t>
      </w:r>
      <w:r>
        <w:t xml:space="preserve"> </w:t>
      </w:r>
      <w:r>
        <w:rPr>
          <w:b/>
          <w:bCs/>
        </w:rPr>
        <w:t>11</w:t>
      </w:r>
      <w:r>
        <w:t>, 3151 (2020).</w:t>
      </w:r>
    </w:p>
    <w:p w14:paraId="3A1930DE" w14:textId="77777777" w:rsidR="00032228" w:rsidRDefault="00032228" w:rsidP="00032228">
      <w:pPr>
        <w:pStyle w:val="Bibliography"/>
      </w:pPr>
      <w:r>
        <w:lastRenderedPageBreak/>
        <w:t>57.</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73749035" w14:textId="77777777" w:rsidR="00032228" w:rsidRDefault="00032228" w:rsidP="00032228">
      <w:pPr>
        <w:pStyle w:val="Bibliography"/>
      </w:pPr>
      <w:r>
        <w:t>58.</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9CD401B" w14:textId="77777777" w:rsidR="00032228" w:rsidRDefault="00032228" w:rsidP="00032228">
      <w:pPr>
        <w:pStyle w:val="Bibliography"/>
      </w:pPr>
      <w:r>
        <w:t>59.</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32213994" w14:textId="77777777" w:rsidR="00032228" w:rsidRDefault="00032228" w:rsidP="00032228">
      <w:pPr>
        <w:pStyle w:val="Bibliography"/>
      </w:pPr>
      <w:r>
        <w:t>60.</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3FAAC094" w14:textId="77777777" w:rsidR="00032228" w:rsidRDefault="00032228" w:rsidP="00032228">
      <w:pPr>
        <w:pStyle w:val="Bibliography"/>
      </w:pPr>
      <w:r>
        <w:t>61.</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14AAB121" w14:textId="77777777" w:rsidR="00032228" w:rsidRDefault="00032228" w:rsidP="00032228">
      <w:pPr>
        <w:pStyle w:val="Bibliography"/>
      </w:pPr>
      <w:r>
        <w:t>62.</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7359FDC6" w14:textId="77777777" w:rsidR="00032228" w:rsidRDefault="00032228" w:rsidP="00032228">
      <w:pPr>
        <w:pStyle w:val="Bibliography"/>
      </w:pPr>
      <w:r>
        <w:t>63.</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5E699D5F" w14:textId="77777777" w:rsidR="00032228" w:rsidRDefault="00032228" w:rsidP="00032228">
      <w:pPr>
        <w:pStyle w:val="Bibliography"/>
      </w:pPr>
      <w:r>
        <w:t>64.</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4C73CE0" w14:textId="77777777" w:rsidR="00032228" w:rsidRDefault="00032228" w:rsidP="00032228">
      <w:pPr>
        <w:pStyle w:val="Bibliography"/>
      </w:pPr>
      <w:r>
        <w:t>65.</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3A771E6A" w14:textId="77777777" w:rsidR="00032228" w:rsidRDefault="00032228" w:rsidP="00032228">
      <w:pPr>
        <w:pStyle w:val="Bibliography"/>
      </w:pPr>
      <w:r>
        <w:t>66.</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06D69577" w14:textId="77777777" w:rsidR="00032228" w:rsidRDefault="00032228" w:rsidP="00032228">
      <w:pPr>
        <w:pStyle w:val="Bibliography"/>
      </w:pPr>
      <w:r>
        <w:lastRenderedPageBreak/>
        <w:t>67.</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7130983F" w14:textId="77777777" w:rsidR="00032228" w:rsidRDefault="00032228" w:rsidP="00032228">
      <w:pPr>
        <w:pStyle w:val="Bibliography"/>
      </w:pPr>
      <w:r>
        <w:t>68.</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704D948E" w14:textId="77777777" w:rsidR="00032228" w:rsidRDefault="00032228" w:rsidP="00032228">
      <w:pPr>
        <w:pStyle w:val="Bibliography"/>
      </w:pPr>
      <w:r>
        <w:t>69.</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6B490C89" w14:textId="77777777" w:rsidR="00032228" w:rsidRDefault="00032228" w:rsidP="00032228">
      <w:pPr>
        <w:pStyle w:val="Bibliography"/>
      </w:pPr>
      <w:r>
        <w:t>70.</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6C72D4D5" w14:textId="77777777" w:rsidR="00032228" w:rsidRDefault="00032228" w:rsidP="00032228">
      <w:pPr>
        <w:pStyle w:val="Bibliography"/>
      </w:pPr>
      <w:r>
        <w:t>71.</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0C5BF355" w14:textId="77777777" w:rsidR="00032228" w:rsidRDefault="00032228" w:rsidP="00032228">
      <w:pPr>
        <w:pStyle w:val="Bibliography"/>
      </w:pPr>
      <w:r w:rsidRPr="00032228">
        <w:rPr>
          <w:lang w:val="sv-SE"/>
        </w:rPr>
        <w:t>72.</w:t>
      </w:r>
      <w:r w:rsidRPr="00032228">
        <w:rPr>
          <w:lang w:val="sv-SE"/>
        </w:rPr>
        <w:tab/>
        <w:t xml:space="preserve">Souza, C. P. E. de </w:t>
      </w:r>
      <w:r w:rsidRPr="00032228">
        <w:rPr>
          <w:i/>
          <w:iCs/>
          <w:lang w:val="sv-SE"/>
        </w:rPr>
        <w:t>et al.</w:t>
      </w:r>
      <w:r w:rsidRPr="00032228">
        <w:rPr>
          <w:lang w:val="sv-SE"/>
        </w:rP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3E92B269" w14:textId="77777777" w:rsidR="00032228" w:rsidRDefault="00032228" w:rsidP="00032228">
      <w:pPr>
        <w:pStyle w:val="Bibliography"/>
      </w:pPr>
      <w:r>
        <w:t>73.</w:t>
      </w:r>
      <w:r>
        <w:tab/>
      </w:r>
      <w:proofErr w:type="spellStart"/>
      <w:r>
        <w:t>Methrix</w:t>
      </w:r>
      <w:proofErr w:type="spellEnd"/>
      <w:r>
        <w:t>: an R/Bioconductor package for systematic aggregation and analysis of bisulfite sequencing data | Bioinformatics | Oxford Academic. https://academic.oup.com/bioinformatics/article/36/22-23/5524/6042753.</w:t>
      </w:r>
    </w:p>
    <w:p w14:paraId="1CD33845" w14:textId="77777777" w:rsidR="00032228" w:rsidRDefault="00032228" w:rsidP="00032228">
      <w:pPr>
        <w:pStyle w:val="Bibliography"/>
      </w:pPr>
      <w:r w:rsidRPr="00032228">
        <w:rPr>
          <w:lang w:val="sv-SE"/>
        </w:rPr>
        <w:t>74.</w:t>
      </w:r>
      <w:r w:rsidRPr="00032228">
        <w:rPr>
          <w:lang w:val="sv-SE"/>
        </w:rPr>
        <w:tab/>
        <w:t xml:space="preserve">Amezquita, R. A. </w:t>
      </w:r>
      <w:r w:rsidRPr="00032228">
        <w:rPr>
          <w:i/>
          <w:iCs/>
          <w:lang w:val="sv-SE"/>
        </w:rPr>
        <w:t>et al.</w:t>
      </w:r>
      <w:r w:rsidRPr="00032228">
        <w:rPr>
          <w:lang w:val="sv-SE"/>
        </w:rPr>
        <w:t xml:space="preserve"> </w:t>
      </w:r>
      <w:r>
        <w:t xml:space="preserve">Orchestrating single-cell analysis with Bioconductor. </w:t>
      </w:r>
      <w:r>
        <w:rPr>
          <w:i/>
          <w:iCs/>
        </w:rPr>
        <w:t>Nat Methods</w:t>
      </w:r>
      <w:r>
        <w:t xml:space="preserve"> </w:t>
      </w:r>
      <w:r>
        <w:rPr>
          <w:b/>
          <w:bCs/>
        </w:rPr>
        <w:t>17</w:t>
      </w:r>
      <w:r>
        <w:t>, 137–145 (2020).</w:t>
      </w:r>
    </w:p>
    <w:p w14:paraId="6E226589" w14:textId="77777777" w:rsidR="00032228" w:rsidRDefault="00032228" w:rsidP="00032228">
      <w:pPr>
        <w:pStyle w:val="Bibliography"/>
      </w:pPr>
      <w:r>
        <w:t>75.</w:t>
      </w:r>
      <w:r>
        <w:tab/>
      </w:r>
      <w:proofErr w:type="spellStart"/>
      <w:r>
        <w:t>Dowle</w:t>
      </w:r>
      <w:proofErr w:type="spellEnd"/>
      <w:r>
        <w:t xml:space="preserve">, M. </w:t>
      </w:r>
      <w:r>
        <w:rPr>
          <w:i/>
          <w:iCs/>
        </w:rPr>
        <w:t>et al.</w:t>
      </w:r>
      <w:r>
        <w:t xml:space="preserve"> </w:t>
      </w:r>
      <w:proofErr w:type="spellStart"/>
      <w:r>
        <w:rPr>
          <w:i/>
          <w:iCs/>
        </w:rPr>
        <w:t>data.table</w:t>
      </w:r>
      <w:proofErr w:type="spellEnd"/>
      <w:r>
        <w:rPr>
          <w:i/>
          <w:iCs/>
        </w:rPr>
        <w:t>: Extension of ‘</w:t>
      </w:r>
      <w:proofErr w:type="spellStart"/>
      <w:r>
        <w:rPr>
          <w:i/>
          <w:iCs/>
        </w:rPr>
        <w:t>data.frame</w:t>
      </w:r>
      <w:proofErr w:type="spellEnd"/>
      <w:r>
        <w:rPr>
          <w:i/>
          <w:iCs/>
        </w:rPr>
        <w:t>’</w:t>
      </w:r>
      <w:r>
        <w:t>. (2021).</w:t>
      </w:r>
    </w:p>
    <w:p w14:paraId="389E3AFF" w14:textId="77777777" w:rsidR="00032228" w:rsidRDefault="00032228" w:rsidP="00032228">
      <w:pPr>
        <w:pStyle w:val="Bibliography"/>
      </w:pPr>
      <w:r>
        <w:t>76.</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(Bioconductor version: Release (3.14), 2021). doi:10.18129/B9.bioc.DelayedMatrixStats.</w:t>
      </w:r>
    </w:p>
    <w:p w14:paraId="294A16CA" w14:textId="77777777" w:rsidR="00032228" w:rsidRDefault="00032228" w:rsidP="00032228">
      <w:pPr>
        <w:pStyle w:val="Bibliography"/>
      </w:pPr>
      <w:r>
        <w:t>77.</w:t>
      </w:r>
      <w:r>
        <w:tab/>
        <w:t xml:space="preserve">Chambers, J. M. Object-Oriented Programming, Functional Programming and R. </w:t>
      </w:r>
      <w:r>
        <w:rPr>
          <w:i/>
          <w:iCs/>
        </w:rPr>
        <w:t>Statist. Sci.</w:t>
      </w:r>
      <w:r>
        <w:t xml:space="preserve"> </w:t>
      </w:r>
      <w:r>
        <w:rPr>
          <w:b/>
          <w:bCs/>
        </w:rPr>
        <w:t>29</w:t>
      </w:r>
      <w:r>
        <w:t>, (2014).</w:t>
      </w:r>
    </w:p>
    <w:p w14:paraId="1A59082B" w14:textId="77777777" w:rsidR="00032228" w:rsidRDefault="00032228" w:rsidP="00032228">
      <w:pPr>
        <w:pStyle w:val="Bibliography"/>
      </w:pPr>
      <w:r>
        <w:lastRenderedPageBreak/>
        <w:t>78.</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649B29B8" w14:textId="77777777" w:rsidR="00032228" w:rsidRDefault="00032228" w:rsidP="00032228">
      <w:pPr>
        <w:pStyle w:val="Bibliography"/>
      </w:pPr>
      <w:r>
        <w:t>79.</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2F9C585A" w14:textId="77777777" w:rsidR="00032228" w:rsidRDefault="00032228" w:rsidP="00032228">
      <w:pPr>
        <w:pStyle w:val="Bibliography"/>
      </w:pPr>
      <w:r>
        <w:t>80.</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1BF64CBD" w14:textId="77777777" w:rsidR="00032228" w:rsidRDefault="00032228" w:rsidP="00032228">
      <w:pPr>
        <w:pStyle w:val="Bibliography"/>
      </w:pPr>
      <w:r>
        <w:t>81.</w:t>
      </w:r>
      <w:r>
        <w:tab/>
        <w:t>Bis-SNP: Combined DNA methylation and SNP calling for Bisulfite-seq data | Genome Biology | Full Text. https://genomebiology.biomedcentral.com/articles/10.1186/gb-2012-13-7-r61.</w:t>
      </w:r>
    </w:p>
    <w:p w14:paraId="52EAB28B" w14:textId="77777777" w:rsidR="00032228" w:rsidRDefault="00032228" w:rsidP="00032228">
      <w:pPr>
        <w:pStyle w:val="Bibliography"/>
      </w:pPr>
      <w:r>
        <w:t>82.</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10D06E11" w14:textId="77777777" w:rsidR="00032228" w:rsidRDefault="00032228" w:rsidP="00032228">
      <w:pPr>
        <w:pStyle w:val="Bibliography"/>
      </w:pPr>
      <w:r>
        <w:t>83.</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(Bioconductor version: Release (3.14), 2021). doi:10.18129/B9.bioc.HDF5Array.</w:t>
      </w:r>
    </w:p>
    <w:p w14:paraId="271B4769" w14:textId="77777777" w:rsidR="00032228" w:rsidRDefault="00032228" w:rsidP="00032228">
      <w:pPr>
        <w:pStyle w:val="Bibliography"/>
      </w:pPr>
      <w:r>
        <w:t>84.</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5C8F5AB0" w14:textId="77777777" w:rsidR="00032228" w:rsidRDefault="00032228" w:rsidP="00032228">
      <w:pPr>
        <w:pStyle w:val="Bibliography"/>
      </w:pPr>
      <w:r>
        <w:t>85.</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normalization and visualization of single-cell RNA-seq data in R. </w:t>
      </w:r>
      <w:r>
        <w:rPr>
          <w:i/>
          <w:iCs/>
        </w:rPr>
        <w:t>Bioinformatics</w:t>
      </w:r>
      <w:r>
        <w:t xml:space="preserve"> </w:t>
      </w:r>
      <w:r>
        <w:rPr>
          <w:b/>
          <w:bCs/>
        </w:rPr>
        <w:t>33</w:t>
      </w:r>
      <w:r>
        <w:t>, 1179–1186 (2017).</w:t>
      </w:r>
    </w:p>
    <w:p w14:paraId="02970016" w14:textId="77777777" w:rsidR="00032228" w:rsidRDefault="00032228" w:rsidP="00032228">
      <w:pPr>
        <w:pStyle w:val="Bibliography"/>
      </w:pPr>
      <w:r>
        <w:t>86.</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(Bioconductor version: Release (3.14), 2021). doi:10.18129/B9.bioc.scran.</w:t>
      </w:r>
    </w:p>
    <w:p w14:paraId="75EAFFEA" w14:textId="77777777" w:rsidR="00032228" w:rsidRDefault="00032228" w:rsidP="00032228">
      <w:pPr>
        <w:pStyle w:val="Bibliography"/>
      </w:pPr>
      <w:r>
        <w:t>87.</w:t>
      </w:r>
      <w:r>
        <w:tab/>
        <w:t xml:space="preserve">Hastie, T., </w:t>
      </w:r>
      <w:proofErr w:type="spellStart"/>
      <w:r>
        <w:t>Tibshirani</w:t>
      </w:r>
      <w:proofErr w:type="spellEnd"/>
      <w:r>
        <w:t xml:space="preserve">, R., Narasimhan, B. &amp; Chu, G. </w:t>
      </w:r>
      <w:r>
        <w:rPr>
          <w:i/>
          <w:iCs/>
        </w:rPr>
        <w:t>impute: impute: Imputation for microarray data</w:t>
      </w:r>
      <w:r>
        <w:t>. (Bioconductor version: Release (3.14), 2021). doi:10.18129/B9.bioc.impute.</w:t>
      </w:r>
    </w:p>
    <w:p w14:paraId="5368AF7E" w14:textId="77777777" w:rsidR="00032228" w:rsidRDefault="00032228" w:rsidP="00032228">
      <w:pPr>
        <w:pStyle w:val="Bibliography"/>
      </w:pPr>
      <w:r>
        <w:t>88.</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72214C83" w14:textId="77777777" w:rsidR="00032228" w:rsidRDefault="00032228" w:rsidP="00032228">
      <w:pPr>
        <w:pStyle w:val="Bibliography"/>
      </w:pPr>
      <w:r>
        <w:t>89.</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02813255" w14:textId="77777777" w:rsidR="00032228" w:rsidRDefault="00032228" w:rsidP="00032228">
      <w:pPr>
        <w:pStyle w:val="Bibliography"/>
      </w:pPr>
      <w:r>
        <w:lastRenderedPageBreak/>
        <w:t>90.</w:t>
      </w:r>
      <w:r>
        <w:tab/>
        <w:t xml:space="preserve">Ding, B., Gentleman, R. &amp; Carey, V. </w:t>
      </w:r>
      <w:proofErr w:type="spellStart"/>
      <w:r>
        <w:rPr>
          <w:i/>
          <w:iCs/>
        </w:rPr>
        <w:t>bioDist</w:t>
      </w:r>
      <w:proofErr w:type="spellEnd"/>
      <w:r>
        <w:rPr>
          <w:i/>
          <w:iCs/>
        </w:rPr>
        <w:t>: Different distance measures</w:t>
      </w:r>
      <w:r>
        <w:t>. (Bioconductor version: Release (3.14), 2021). doi:10.18129/B9.bioc.bioDist.</w:t>
      </w:r>
    </w:p>
    <w:p w14:paraId="31749A5B" w14:textId="77777777" w:rsidR="00032228" w:rsidRDefault="00032228" w:rsidP="00032228">
      <w:pPr>
        <w:pStyle w:val="Bibliography"/>
      </w:pPr>
      <w:r>
        <w:t>91.</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615266BB" w14:textId="77777777" w:rsidR="00032228" w:rsidRDefault="00032228" w:rsidP="00032228">
      <w:pPr>
        <w:pStyle w:val="Bibliography"/>
      </w:pPr>
      <w:r>
        <w:t>92.</w:t>
      </w:r>
      <w:r>
        <w:tab/>
        <w:t xml:space="preserve">Konopka, T. </w:t>
      </w:r>
      <w:proofErr w:type="spellStart"/>
      <w:r>
        <w:rPr>
          <w:i/>
          <w:iCs/>
        </w:rPr>
        <w:t>umap</w:t>
      </w:r>
      <w:proofErr w:type="spellEnd"/>
      <w:r>
        <w:rPr>
          <w:i/>
          <w:iCs/>
        </w:rPr>
        <w:t>: Uniform Manifold Approximation and Projection</w:t>
      </w:r>
      <w:r>
        <w:t>. (2020).</w:t>
      </w:r>
    </w:p>
    <w:p w14:paraId="313C0454" w14:textId="77777777" w:rsidR="00032228" w:rsidRDefault="00032228" w:rsidP="00032228">
      <w:pPr>
        <w:pStyle w:val="Bibliography"/>
      </w:pPr>
      <w:r>
        <w:t>93.</w:t>
      </w:r>
      <w:r>
        <w:tab/>
        <w:t xml:space="preserve">Donaldson, J. </w:t>
      </w:r>
      <w:proofErr w:type="spellStart"/>
      <w:r>
        <w:rPr>
          <w:i/>
          <w:iCs/>
        </w:rPr>
        <w:t>tsne</w:t>
      </w:r>
      <w:proofErr w:type="spellEnd"/>
      <w:r>
        <w:rPr>
          <w:i/>
          <w:iCs/>
        </w:rPr>
        <w:t>: T-Distributed Stochastic Neighbor Embedding for R (t-SNE)</w:t>
      </w:r>
      <w:r>
        <w:t>. (2016).</w:t>
      </w:r>
    </w:p>
    <w:p w14:paraId="667ECFAC" w14:textId="77777777" w:rsidR="00032228" w:rsidRDefault="00032228" w:rsidP="00032228">
      <w:pPr>
        <w:pStyle w:val="Bibliography"/>
      </w:pPr>
      <w:r>
        <w:t>94.</w:t>
      </w:r>
      <w:r>
        <w:tab/>
        <w:t>CRAN - Package ggplot2. https://cran.r-project.org/web/packages/ggplot2/index.html.</w:t>
      </w:r>
    </w:p>
    <w:p w14:paraId="29F1EC6D" w14:textId="77777777" w:rsidR="00032228" w:rsidRDefault="00032228" w:rsidP="00032228">
      <w:pPr>
        <w:pStyle w:val="Bibliography"/>
      </w:pPr>
      <w:r>
        <w:t>95.</w:t>
      </w:r>
      <w:r>
        <w:tab/>
        <w:t>Team, R. C. &amp; others. R: A language and environment for statistical computing. (2013).</w:t>
      </w:r>
    </w:p>
    <w:p w14:paraId="4107DD80" w14:textId="77777777" w:rsidR="00032228" w:rsidRDefault="00032228" w:rsidP="00032228">
      <w:pPr>
        <w:pStyle w:val="Bibliography"/>
      </w:pPr>
      <w:r>
        <w:t>96.</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65C95169" w14:textId="77777777" w:rsidR="00032228" w:rsidRDefault="00032228" w:rsidP="00032228">
      <w:pPr>
        <w:pStyle w:val="Bibliography"/>
      </w:pPr>
      <w:r>
        <w:t>97.</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77452825" w14:textId="77777777" w:rsidR="00032228" w:rsidRDefault="00032228" w:rsidP="00032228">
      <w:pPr>
        <w:pStyle w:val="Bibliography"/>
      </w:pPr>
      <w:r>
        <w:t>98.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33220F13" w14:textId="77777777" w:rsidR="00032228" w:rsidRDefault="00032228" w:rsidP="00032228">
      <w:pPr>
        <w:pStyle w:val="Bibliography"/>
      </w:pPr>
      <w:r>
        <w:t>99.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3CA91AA7" w14:textId="77777777" w:rsidR="00032228" w:rsidRDefault="00032228" w:rsidP="00032228">
      <w:pPr>
        <w:pStyle w:val="Bibliography"/>
      </w:pPr>
      <w:r>
        <w:t>100.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3E704ED6" w14:textId="77777777" w:rsidR="00032228" w:rsidRDefault="00032228" w:rsidP="00032228">
      <w:pPr>
        <w:pStyle w:val="Bibliography"/>
      </w:pPr>
      <w:r>
        <w:t>101.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758D3D3C" w14:textId="77777777" w:rsidR="00032228" w:rsidRDefault="00032228" w:rsidP="00032228">
      <w:pPr>
        <w:pStyle w:val="Bibliography"/>
      </w:pPr>
      <w:r>
        <w:t>102.</w:t>
      </w:r>
      <w:r>
        <w:tab/>
      </w:r>
      <w:proofErr w:type="spellStart"/>
      <w:r>
        <w:t>Gaiti</w:t>
      </w:r>
      <w:proofErr w:type="spellEnd"/>
      <w:r>
        <w:t xml:space="preserve">, F. </w:t>
      </w:r>
      <w:r>
        <w:rPr>
          <w:i/>
          <w:iCs/>
        </w:rPr>
        <w:t>et al.</w:t>
      </w:r>
      <w:r>
        <w:t xml:space="preserve"> Epigenetic encoding, heritability and plasticity of glioma transcriptional cell states. https://www.ncbi.nlm.nih.gov/geo/query/acc.cgi?acc=GSE151506.</w:t>
      </w:r>
    </w:p>
    <w:p w14:paraId="46730A4D" w14:textId="77777777" w:rsidR="00032228" w:rsidRDefault="00032228" w:rsidP="00032228">
      <w:pPr>
        <w:pStyle w:val="Bibliography"/>
      </w:pPr>
      <w:r>
        <w:lastRenderedPageBreak/>
        <w:t>103.</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465F0E34" w14:textId="77777777" w:rsidR="00032228" w:rsidRPr="00032228" w:rsidRDefault="00032228" w:rsidP="00032228">
      <w:pPr>
        <w:pStyle w:val="Bibliography"/>
        <w:rPr>
          <w:lang w:val="sv-SE"/>
        </w:rPr>
      </w:pPr>
      <w:r>
        <w:t>104.</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sidRPr="00032228">
        <w:rPr>
          <w:i/>
          <w:iCs/>
          <w:lang w:val="sv-SE"/>
        </w:rPr>
        <w:t>Acta Neuropathol</w:t>
      </w:r>
      <w:r w:rsidRPr="00032228">
        <w:rPr>
          <w:lang w:val="sv-SE"/>
        </w:rPr>
        <w:t xml:space="preserve"> </w:t>
      </w:r>
      <w:r w:rsidRPr="00032228">
        <w:rPr>
          <w:b/>
          <w:bCs/>
          <w:lang w:val="sv-SE"/>
        </w:rPr>
        <w:t>140</w:t>
      </w:r>
      <w:r w:rsidRPr="00032228">
        <w:rPr>
          <w:lang w:val="sv-SE"/>
        </w:rPr>
        <w:t>, 919–949 (2020).</w:t>
      </w:r>
    </w:p>
    <w:p w14:paraId="47B0BFC0" w14:textId="77777777" w:rsidR="00032228" w:rsidRDefault="00032228" w:rsidP="00032228">
      <w:pPr>
        <w:pStyle w:val="Bibliography"/>
      </w:pPr>
      <w:r w:rsidRPr="00032228">
        <w:rPr>
          <w:lang w:val="sv-SE"/>
        </w:rPr>
        <w:t>105.</w:t>
      </w:r>
      <w:r w:rsidRPr="00032228">
        <w:rPr>
          <w:lang w:val="sv-SE"/>
        </w:rPr>
        <w:tab/>
        <w:t xml:space="preserve">Hansen, K. &amp; Fortin, J.-P. IlluminaHumanMethylation27kanno.ilmn12.hg19. </w:t>
      </w:r>
      <w:r>
        <w:rPr>
          <w:i/>
          <w:iCs/>
        </w:rPr>
        <w:t>Bioconductor</w:t>
      </w:r>
      <w:r>
        <w:t xml:space="preserve"> http://bioconductor.org/packages/IlluminaHumanMethylation27kanno.ilmn12.hg19/.</w:t>
      </w:r>
    </w:p>
    <w:p w14:paraId="62B900F0" w14:textId="77777777" w:rsidR="00032228" w:rsidRDefault="00032228" w:rsidP="00032228">
      <w:pPr>
        <w:pStyle w:val="Bibliography"/>
      </w:pPr>
      <w:r>
        <w:t>106.</w:t>
      </w:r>
      <w:r>
        <w:tab/>
        <w:t xml:space="preserve">Hansen, K. IlluminaHumanMethylation450kanno.ilmn12.hg19. </w:t>
      </w:r>
      <w:r>
        <w:rPr>
          <w:i/>
          <w:iCs/>
        </w:rPr>
        <w:t>Bioconductor</w:t>
      </w:r>
      <w:r>
        <w:t xml:space="preserve"> http://bioconductor.org/packages/IlluminaHumanMethylation450kanno.ilmn12.hg19/.</w:t>
      </w:r>
    </w:p>
    <w:p w14:paraId="6E65EF5F" w14:textId="77777777" w:rsidR="00032228" w:rsidRDefault="00032228" w:rsidP="00032228">
      <w:pPr>
        <w:pStyle w:val="Bibliography"/>
      </w:pPr>
      <w:r>
        <w:t>107.</w:t>
      </w:r>
      <w:r>
        <w:tab/>
        <w:t xml:space="preserve">Hansen, K. IlluminaHumanMethylationEPICanno.ilm10b4.hg19. </w:t>
      </w:r>
      <w:r>
        <w:rPr>
          <w:i/>
          <w:iCs/>
        </w:rPr>
        <w:t>Bioconductor</w:t>
      </w:r>
      <w:r>
        <w:t xml:space="preserve"> http://bioconductor.org/packages/IlluminaHumanMethylationEPICanno.ilm10b4.hg19/.</w:t>
      </w:r>
    </w:p>
    <w:p w14:paraId="579CF6D6" w14:textId="77777777" w:rsidR="00032228" w:rsidRDefault="00032228" w:rsidP="00032228">
      <w:pPr>
        <w:pStyle w:val="Bibliography"/>
      </w:pPr>
      <w:r>
        <w:t>108.</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3BB65C2A" w14:textId="77777777" w:rsidR="00032228" w:rsidRPr="00032228" w:rsidRDefault="00032228" w:rsidP="00032228">
      <w:pPr>
        <w:pStyle w:val="Bibliography"/>
        <w:rPr>
          <w:lang w:val="sv-SE"/>
        </w:rPr>
      </w:pPr>
      <w:r>
        <w:t>109.</w:t>
      </w:r>
      <w:r>
        <w:tab/>
        <w:t xml:space="preserve">Bioconductor Package Maintainer. </w:t>
      </w:r>
      <w:proofErr w:type="spellStart"/>
      <w:r>
        <w:t>liftOver</w:t>
      </w:r>
      <w:proofErr w:type="spellEnd"/>
      <w:r>
        <w:t xml:space="preserve">: Changing genomic coordinate systems with </w:t>
      </w:r>
      <w:proofErr w:type="spellStart"/>
      <w:r>
        <w:t>rtracklayer</w:t>
      </w:r>
      <w:proofErr w:type="spellEnd"/>
      <w:r>
        <w:t>::</w:t>
      </w:r>
      <w:proofErr w:type="spellStart"/>
      <w:r>
        <w:t>liftOver</w:t>
      </w:r>
      <w:proofErr w:type="spellEnd"/>
      <w:r>
        <w:t xml:space="preserve">. </w:t>
      </w:r>
      <w:r w:rsidRPr="00032228">
        <w:rPr>
          <w:lang w:val="sv-SE"/>
        </w:rPr>
        <w:t>R package version 1.18.0. https://www.bioconductor.org/help/workflows/liftOver/.</w:t>
      </w:r>
    </w:p>
    <w:p w14:paraId="5DFA8ABA" w14:textId="77777777" w:rsidR="00032228" w:rsidRDefault="00032228" w:rsidP="00032228">
      <w:pPr>
        <w:pStyle w:val="Bibliography"/>
      </w:pPr>
      <w:r>
        <w:t>110.</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6FA8E8BE" w14:textId="77777777" w:rsidR="00032228" w:rsidRDefault="00032228" w:rsidP="00032228">
      <w:pPr>
        <w:pStyle w:val="Bibliography"/>
      </w:pPr>
      <w:r>
        <w:t>111.</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3DF5C5CC" w14:textId="77777777" w:rsidR="00032228" w:rsidRDefault="00032228" w:rsidP="00032228">
      <w:pPr>
        <w:pStyle w:val="Bibliography"/>
      </w:pPr>
      <w:r>
        <w:t>112.</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054ADD8" w14:textId="4EEC6E1A"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109A9"/>
    <w:rsid w:val="00010D02"/>
    <w:rsid w:val="00010D72"/>
    <w:rsid w:val="000117C9"/>
    <w:rsid w:val="0001182F"/>
    <w:rsid w:val="00011A17"/>
    <w:rsid w:val="00011E7B"/>
    <w:rsid w:val="00012C04"/>
    <w:rsid w:val="00012E5A"/>
    <w:rsid w:val="00014311"/>
    <w:rsid w:val="00014EA5"/>
    <w:rsid w:val="00017E2B"/>
    <w:rsid w:val="00020554"/>
    <w:rsid w:val="00021794"/>
    <w:rsid w:val="00022F8D"/>
    <w:rsid w:val="000232C9"/>
    <w:rsid w:val="00023453"/>
    <w:rsid w:val="00023E07"/>
    <w:rsid w:val="00024012"/>
    <w:rsid w:val="0002441B"/>
    <w:rsid w:val="00024A07"/>
    <w:rsid w:val="00026A82"/>
    <w:rsid w:val="00026E98"/>
    <w:rsid w:val="00027029"/>
    <w:rsid w:val="00027A89"/>
    <w:rsid w:val="000316EF"/>
    <w:rsid w:val="00032228"/>
    <w:rsid w:val="00034087"/>
    <w:rsid w:val="00034A17"/>
    <w:rsid w:val="000359B9"/>
    <w:rsid w:val="000369AC"/>
    <w:rsid w:val="00037361"/>
    <w:rsid w:val="000407C9"/>
    <w:rsid w:val="00043A40"/>
    <w:rsid w:val="000446F3"/>
    <w:rsid w:val="000453FA"/>
    <w:rsid w:val="00046849"/>
    <w:rsid w:val="00046891"/>
    <w:rsid w:val="000469A9"/>
    <w:rsid w:val="00047049"/>
    <w:rsid w:val="0004724F"/>
    <w:rsid w:val="00047FEB"/>
    <w:rsid w:val="0005105A"/>
    <w:rsid w:val="00051659"/>
    <w:rsid w:val="00052032"/>
    <w:rsid w:val="000520CE"/>
    <w:rsid w:val="00053EE8"/>
    <w:rsid w:val="00054840"/>
    <w:rsid w:val="00055085"/>
    <w:rsid w:val="000568B5"/>
    <w:rsid w:val="0005724B"/>
    <w:rsid w:val="00057DC1"/>
    <w:rsid w:val="00057EFE"/>
    <w:rsid w:val="000603DF"/>
    <w:rsid w:val="00060E81"/>
    <w:rsid w:val="000611FD"/>
    <w:rsid w:val="00061B56"/>
    <w:rsid w:val="00061D4A"/>
    <w:rsid w:val="0006230A"/>
    <w:rsid w:val="0006248E"/>
    <w:rsid w:val="00062DAB"/>
    <w:rsid w:val="00063084"/>
    <w:rsid w:val="000638A6"/>
    <w:rsid w:val="00065115"/>
    <w:rsid w:val="00065793"/>
    <w:rsid w:val="00066695"/>
    <w:rsid w:val="00067189"/>
    <w:rsid w:val="00067DFE"/>
    <w:rsid w:val="00070447"/>
    <w:rsid w:val="0007178A"/>
    <w:rsid w:val="000719C9"/>
    <w:rsid w:val="000727AD"/>
    <w:rsid w:val="00073080"/>
    <w:rsid w:val="0007517A"/>
    <w:rsid w:val="00075E85"/>
    <w:rsid w:val="0007755D"/>
    <w:rsid w:val="00077FBA"/>
    <w:rsid w:val="00080E54"/>
    <w:rsid w:val="00081978"/>
    <w:rsid w:val="00081A6B"/>
    <w:rsid w:val="00081EC4"/>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40C1"/>
    <w:rsid w:val="000A717D"/>
    <w:rsid w:val="000A7CE7"/>
    <w:rsid w:val="000B00D3"/>
    <w:rsid w:val="000B0EBF"/>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57B"/>
    <w:rsid w:val="000D759A"/>
    <w:rsid w:val="000D78E6"/>
    <w:rsid w:val="000E0FD1"/>
    <w:rsid w:val="000E10CE"/>
    <w:rsid w:val="000E19B7"/>
    <w:rsid w:val="000E1E33"/>
    <w:rsid w:val="000E5367"/>
    <w:rsid w:val="000E53F0"/>
    <w:rsid w:val="000E6638"/>
    <w:rsid w:val="000E7A11"/>
    <w:rsid w:val="000F0B17"/>
    <w:rsid w:val="000F0DBF"/>
    <w:rsid w:val="000F14DA"/>
    <w:rsid w:val="000F1C64"/>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52F"/>
    <w:rsid w:val="00104E2A"/>
    <w:rsid w:val="00105312"/>
    <w:rsid w:val="001118B2"/>
    <w:rsid w:val="00112C1F"/>
    <w:rsid w:val="00114E83"/>
    <w:rsid w:val="00115372"/>
    <w:rsid w:val="00115B71"/>
    <w:rsid w:val="00116C93"/>
    <w:rsid w:val="00116E42"/>
    <w:rsid w:val="00117E9A"/>
    <w:rsid w:val="00120610"/>
    <w:rsid w:val="001209C3"/>
    <w:rsid w:val="0012304D"/>
    <w:rsid w:val="001234BF"/>
    <w:rsid w:val="00123E7A"/>
    <w:rsid w:val="00126D9C"/>
    <w:rsid w:val="00127106"/>
    <w:rsid w:val="00130840"/>
    <w:rsid w:val="00132B54"/>
    <w:rsid w:val="00133AC1"/>
    <w:rsid w:val="001343A4"/>
    <w:rsid w:val="00134F1E"/>
    <w:rsid w:val="001358C2"/>
    <w:rsid w:val="00135EDC"/>
    <w:rsid w:val="001364DF"/>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382"/>
    <w:rsid w:val="001510DD"/>
    <w:rsid w:val="00153884"/>
    <w:rsid w:val="00156DEB"/>
    <w:rsid w:val="001600C3"/>
    <w:rsid w:val="00161329"/>
    <w:rsid w:val="00161C8F"/>
    <w:rsid w:val="001632C3"/>
    <w:rsid w:val="001634C2"/>
    <w:rsid w:val="001647F3"/>
    <w:rsid w:val="001650FD"/>
    <w:rsid w:val="0016566D"/>
    <w:rsid w:val="00166B4D"/>
    <w:rsid w:val="00166EC0"/>
    <w:rsid w:val="001677D0"/>
    <w:rsid w:val="00167A27"/>
    <w:rsid w:val="0017033C"/>
    <w:rsid w:val="00170840"/>
    <w:rsid w:val="00170FCC"/>
    <w:rsid w:val="00171085"/>
    <w:rsid w:val="00173516"/>
    <w:rsid w:val="00173DAC"/>
    <w:rsid w:val="0017401A"/>
    <w:rsid w:val="00174AE0"/>
    <w:rsid w:val="0017524F"/>
    <w:rsid w:val="00175570"/>
    <w:rsid w:val="001769BA"/>
    <w:rsid w:val="00176E71"/>
    <w:rsid w:val="001800F7"/>
    <w:rsid w:val="00180300"/>
    <w:rsid w:val="00180CEE"/>
    <w:rsid w:val="00181A65"/>
    <w:rsid w:val="00181A7E"/>
    <w:rsid w:val="00181FAB"/>
    <w:rsid w:val="00185A82"/>
    <w:rsid w:val="0018695C"/>
    <w:rsid w:val="00186988"/>
    <w:rsid w:val="00187134"/>
    <w:rsid w:val="0018761B"/>
    <w:rsid w:val="00192B2B"/>
    <w:rsid w:val="001968C2"/>
    <w:rsid w:val="00197413"/>
    <w:rsid w:val="001977B1"/>
    <w:rsid w:val="00197843"/>
    <w:rsid w:val="00197AB6"/>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36B"/>
    <w:rsid w:val="001B258F"/>
    <w:rsid w:val="001B4D26"/>
    <w:rsid w:val="001B571D"/>
    <w:rsid w:val="001B5A82"/>
    <w:rsid w:val="001B6EE5"/>
    <w:rsid w:val="001B73EA"/>
    <w:rsid w:val="001C01D5"/>
    <w:rsid w:val="001C097D"/>
    <w:rsid w:val="001C0A61"/>
    <w:rsid w:val="001C0F3F"/>
    <w:rsid w:val="001C225B"/>
    <w:rsid w:val="001C2B5C"/>
    <w:rsid w:val="001C38C5"/>
    <w:rsid w:val="001C399E"/>
    <w:rsid w:val="001C3E0F"/>
    <w:rsid w:val="001C3F3D"/>
    <w:rsid w:val="001C44D4"/>
    <w:rsid w:val="001C459A"/>
    <w:rsid w:val="001C6FB2"/>
    <w:rsid w:val="001C7447"/>
    <w:rsid w:val="001C750F"/>
    <w:rsid w:val="001D0EDA"/>
    <w:rsid w:val="001D150F"/>
    <w:rsid w:val="001D18EA"/>
    <w:rsid w:val="001D2CDD"/>
    <w:rsid w:val="001D3C3C"/>
    <w:rsid w:val="001D583F"/>
    <w:rsid w:val="001D5B57"/>
    <w:rsid w:val="001E0CA0"/>
    <w:rsid w:val="001E18BB"/>
    <w:rsid w:val="001E283E"/>
    <w:rsid w:val="001E3222"/>
    <w:rsid w:val="001E3CBD"/>
    <w:rsid w:val="001E5304"/>
    <w:rsid w:val="001E66F6"/>
    <w:rsid w:val="001E7731"/>
    <w:rsid w:val="001F056B"/>
    <w:rsid w:val="001F12FA"/>
    <w:rsid w:val="001F3055"/>
    <w:rsid w:val="001F328F"/>
    <w:rsid w:val="001F39A1"/>
    <w:rsid w:val="001F42EA"/>
    <w:rsid w:val="001F542C"/>
    <w:rsid w:val="001F5752"/>
    <w:rsid w:val="001F5A0C"/>
    <w:rsid w:val="001F5E54"/>
    <w:rsid w:val="001F7958"/>
    <w:rsid w:val="001F7F90"/>
    <w:rsid w:val="00200D45"/>
    <w:rsid w:val="00201076"/>
    <w:rsid w:val="0020296D"/>
    <w:rsid w:val="00202ACC"/>
    <w:rsid w:val="0020487A"/>
    <w:rsid w:val="00205987"/>
    <w:rsid w:val="00206996"/>
    <w:rsid w:val="00206D7C"/>
    <w:rsid w:val="00206E80"/>
    <w:rsid w:val="00207276"/>
    <w:rsid w:val="0021023E"/>
    <w:rsid w:val="002118B0"/>
    <w:rsid w:val="0021359A"/>
    <w:rsid w:val="00213A98"/>
    <w:rsid w:val="00213AEE"/>
    <w:rsid w:val="002151F3"/>
    <w:rsid w:val="00217AEB"/>
    <w:rsid w:val="00217B1A"/>
    <w:rsid w:val="00217EEF"/>
    <w:rsid w:val="00220B80"/>
    <w:rsid w:val="00222777"/>
    <w:rsid w:val="00223286"/>
    <w:rsid w:val="00225F60"/>
    <w:rsid w:val="0023141C"/>
    <w:rsid w:val="00231859"/>
    <w:rsid w:val="00231920"/>
    <w:rsid w:val="00231B36"/>
    <w:rsid w:val="0023252A"/>
    <w:rsid w:val="002332EF"/>
    <w:rsid w:val="002339DD"/>
    <w:rsid w:val="00235AA2"/>
    <w:rsid w:val="002369CE"/>
    <w:rsid w:val="00240623"/>
    <w:rsid w:val="002415B2"/>
    <w:rsid w:val="00241710"/>
    <w:rsid w:val="00242236"/>
    <w:rsid w:val="002426B7"/>
    <w:rsid w:val="00242C03"/>
    <w:rsid w:val="00242CCE"/>
    <w:rsid w:val="00242CEA"/>
    <w:rsid w:val="00246867"/>
    <w:rsid w:val="00250914"/>
    <w:rsid w:val="00250945"/>
    <w:rsid w:val="00250D03"/>
    <w:rsid w:val="002514A2"/>
    <w:rsid w:val="00251C8F"/>
    <w:rsid w:val="00252068"/>
    <w:rsid w:val="002524B4"/>
    <w:rsid w:val="002534C3"/>
    <w:rsid w:val="002536BA"/>
    <w:rsid w:val="00253FCC"/>
    <w:rsid w:val="002540BE"/>
    <w:rsid w:val="002542E3"/>
    <w:rsid w:val="002546BD"/>
    <w:rsid w:val="00254AEE"/>
    <w:rsid w:val="0025686D"/>
    <w:rsid w:val="002572BB"/>
    <w:rsid w:val="002604A8"/>
    <w:rsid w:val="00261EA5"/>
    <w:rsid w:val="00262F25"/>
    <w:rsid w:val="00263FCB"/>
    <w:rsid w:val="002650AC"/>
    <w:rsid w:val="00266965"/>
    <w:rsid w:val="002678BB"/>
    <w:rsid w:val="00267FA9"/>
    <w:rsid w:val="002714C7"/>
    <w:rsid w:val="00271ADD"/>
    <w:rsid w:val="0027210A"/>
    <w:rsid w:val="00274339"/>
    <w:rsid w:val="00274EEB"/>
    <w:rsid w:val="00275D8D"/>
    <w:rsid w:val="00276971"/>
    <w:rsid w:val="00277883"/>
    <w:rsid w:val="00277E95"/>
    <w:rsid w:val="002800F1"/>
    <w:rsid w:val="00281EA1"/>
    <w:rsid w:val="002822AF"/>
    <w:rsid w:val="00283A5A"/>
    <w:rsid w:val="00283D24"/>
    <w:rsid w:val="0028481C"/>
    <w:rsid w:val="00284B54"/>
    <w:rsid w:val="00285D1D"/>
    <w:rsid w:val="0028761B"/>
    <w:rsid w:val="00287A82"/>
    <w:rsid w:val="00291979"/>
    <w:rsid w:val="00291FBF"/>
    <w:rsid w:val="002925DA"/>
    <w:rsid w:val="00293593"/>
    <w:rsid w:val="00293AAB"/>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13EE"/>
    <w:rsid w:val="002C2265"/>
    <w:rsid w:val="002C27C5"/>
    <w:rsid w:val="002C2D62"/>
    <w:rsid w:val="002C334E"/>
    <w:rsid w:val="002C446E"/>
    <w:rsid w:val="002C50FA"/>
    <w:rsid w:val="002C5573"/>
    <w:rsid w:val="002C6427"/>
    <w:rsid w:val="002C71BD"/>
    <w:rsid w:val="002C772B"/>
    <w:rsid w:val="002D3009"/>
    <w:rsid w:val="002D3BBB"/>
    <w:rsid w:val="002D4F3B"/>
    <w:rsid w:val="002D5C29"/>
    <w:rsid w:val="002D5D96"/>
    <w:rsid w:val="002D62E3"/>
    <w:rsid w:val="002D7C02"/>
    <w:rsid w:val="002E016F"/>
    <w:rsid w:val="002E1DEA"/>
    <w:rsid w:val="002E20F6"/>
    <w:rsid w:val="002E2525"/>
    <w:rsid w:val="002E2FEE"/>
    <w:rsid w:val="002E3704"/>
    <w:rsid w:val="002E47EC"/>
    <w:rsid w:val="002E5D00"/>
    <w:rsid w:val="002E6B0B"/>
    <w:rsid w:val="002F06D6"/>
    <w:rsid w:val="002F08FB"/>
    <w:rsid w:val="002F0A4A"/>
    <w:rsid w:val="002F0DCB"/>
    <w:rsid w:val="002F307C"/>
    <w:rsid w:val="002F4DCC"/>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4B35"/>
    <w:rsid w:val="00324F51"/>
    <w:rsid w:val="003257F8"/>
    <w:rsid w:val="00325812"/>
    <w:rsid w:val="00325C5D"/>
    <w:rsid w:val="003267B8"/>
    <w:rsid w:val="003271E6"/>
    <w:rsid w:val="003303D0"/>
    <w:rsid w:val="003317A9"/>
    <w:rsid w:val="0033253D"/>
    <w:rsid w:val="00333D1A"/>
    <w:rsid w:val="00333F54"/>
    <w:rsid w:val="003352A7"/>
    <w:rsid w:val="003368A9"/>
    <w:rsid w:val="003371F1"/>
    <w:rsid w:val="0033740F"/>
    <w:rsid w:val="00340A34"/>
    <w:rsid w:val="00340CEE"/>
    <w:rsid w:val="003426FF"/>
    <w:rsid w:val="00342BD4"/>
    <w:rsid w:val="00342C6A"/>
    <w:rsid w:val="0034651B"/>
    <w:rsid w:val="0034719A"/>
    <w:rsid w:val="0034724F"/>
    <w:rsid w:val="003501BF"/>
    <w:rsid w:val="003513BB"/>
    <w:rsid w:val="00351B27"/>
    <w:rsid w:val="00352D8B"/>
    <w:rsid w:val="003532CC"/>
    <w:rsid w:val="0035401A"/>
    <w:rsid w:val="003547F2"/>
    <w:rsid w:val="00355BF3"/>
    <w:rsid w:val="00356039"/>
    <w:rsid w:val="003571B9"/>
    <w:rsid w:val="003573DB"/>
    <w:rsid w:val="00357D4A"/>
    <w:rsid w:val="0036009F"/>
    <w:rsid w:val="00360ADF"/>
    <w:rsid w:val="00360F06"/>
    <w:rsid w:val="003615A5"/>
    <w:rsid w:val="0036176E"/>
    <w:rsid w:val="00361CF1"/>
    <w:rsid w:val="003627C3"/>
    <w:rsid w:val="00362E56"/>
    <w:rsid w:val="00362EB7"/>
    <w:rsid w:val="00363892"/>
    <w:rsid w:val="00364A2C"/>
    <w:rsid w:val="00365060"/>
    <w:rsid w:val="00365718"/>
    <w:rsid w:val="00365852"/>
    <w:rsid w:val="00365883"/>
    <w:rsid w:val="00365C22"/>
    <w:rsid w:val="00365D9E"/>
    <w:rsid w:val="00365F81"/>
    <w:rsid w:val="00365FFC"/>
    <w:rsid w:val="00366B72"/>
    <w:rsid w:val="00366F7C"/>
    <w:rsid w:val="00372C38"/>
    <w:rsid w:val="003743C0"/>
    <w:rsid w:val="003747F7"/>
    <w:rsid w:val="00374B4E"/>
    <w:rsid w:val="00374FB1"/>
    <w:rsid w:val="00375EA3"/>
    <w:rsid w:val="00375FD6"/>
    <w:rsid w:val="00376644"/>
    <w:rsid w:val="003769DB"/>
    <w:rsid w:val="0037780E"/>
    <w:rsid w:val="00380128"/>
    <w:rsid w:val="0038051C"/>
    <w:rsid w:val="003814D3"/>
    <w:rsid w:val="003819B1"/>
    <w:rsid w:val="00382699"/>
    <w:rsid w:val="00382FDD"/>
    <w:rsid w:val="003840B5"/>
    <w:rsid w:val="0038466C"/>
    <w:rsid w:val="0038531E"/>
    <w:rsid w:val="00385359"/>
    <w:rsid w:val="0038596A"/>
    <w:rsid w:val="003868B9"/>
    <w:rsid w:val="00386B12"/>
    <w:rsid w:val="00387015"/>
    <w:rsid w:val="00390304"/>
    <w:rsid w:val="00390C29"/>
    <w:rsid w:val="00391032"/>
    <w:rsid w:val="00391B00"/>
    <w:rsid w:val="003934AF"/>
    <w:rsid w:val="00395819"/>
    <w:rsid w:val="00395C19"/>
    <w:rsid w:val="003966E4"/>
    <w:rsid w:val="003967FE"/>
    <w:rsid w:val="00396EC6"/>
    <w:rsid w:val="003A2BC1"/>
    <w:rsid w:val="003A2BDF"/>
    <w:rsid w:val="003A3ED5"/>
    <w:rsid w:val="003A4BC5"/>
    <w:rsid w:val="003A5760"/>
    <w:rsid w:val="003A6FEA"/>
    <w:rsid w:val="003A72CC"/>
    <w:rsid w:val="003B0017"/>
    <w:rsid w:val="003B1557"/>
    <w:rsid w:val="003B22EE"/>
    <w:rsid w:val="003B284E"/>
    <w:rsid w:val="003B2D64"/>
    <w:rsid w:val="003B371F"/>
    <w:rsid w:val="003B3AFB"/>
    <w:rsid w:val="003B4142"/>
    <w:rsid w:val="003B5794"/>
    <w:rsid w:val="003B5946"/>
    <w:rsid w:val="003C06CB"/>
    <w:rsid w:val="003C06F9"/>
    <w:rsid w:val="003C2414"/>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E035F"/>
    <w:rsid w:val="003E1683"/>
    <w:rsid w:val="003E1A67"/>
    <w:rsid w:val="003E1F03"/>
    <w:rsid w:val="003E3659"/>
    <w:rsid w:val="003E384E"/>
    <w:rsid w:val="003E4F7B"/>
    <w:rsid w:val="003E610B"/>
    <w:rsid w:val="003E6EA4"/>
    <w:rsid w:val="003E7814"/>
    <w:rsid w:val="003F0150"/>
    <w:rsid w:val="003F0FAD"/>
    <w:rsid w:val="003F1619"/>
    <w:rsid w:val="003F1653"/>
    <w:rsid w:val="003F1D3E"/>
    <w:rsid w:val="003F27A2"/>
    <w:rsid w:val="003F2C78"/>
    <w:rsid w:val="003F45FD"/>
    <w:rsid w:val="003F53BE"/>
    <w:rsid w:val="003F5740"/>
    <w:rsid w:val="003F5C64"/>
    <w:rsid w:val="003F5D8A"/>
    <w:rsid w:val="003F6C99"/>
    <w:rsid w:val="003F6E79"/>
    <w:rsid w:val="003F6FA5"/>
    <w:rsid w:val="003F7EC5"/>
    <w:rsid w:val="004017FB"/>
    <w:rsid w:val="0040193A"/>
    <w:rsid w:val="00401DBB"/>
    <w:rsid w:val="00402714"/>
    <w:rsid w:val="004029CC"/>
    <w:rsid w:val="004032FF"/>
    <w:rsid w:val="004034A2"/>
    <w:rsid w:val="0040420C"/>
    <w:rsid w:val="0040491A"/>
    <w:rsid w:val="0040557A"/>
    <w:rsid w:val="00405EAC"/>
    <w:rsid w:val="00406651"/>
    <w:rsid w:val="0041056E"/>
    <w:rsid w:val="00412139"/>
    <w:rsid w:val="004122F7"/>
    <w:rsid w:val="0041270E"/>
    <w:rsid w:val="0041280D"/>
    <w:rsid w:val="00412935"/>
    <w:rsid w:val="00413D99"/>
    <w:rsid w:val="00413E56"/>
    <w:rsid w:val="00414641"/>
    <w:rsid w:val="0041483E"/>
    <w:rsid w:val="00414B29"/>
    <w:rsid w:val="00416378"/>
    <w:rsid w:val="00417399"/>
    <w:rsid w:val="0041764B"/>
    <w:rsid w:val="0042089B"/>
    <w:rsid w:val="0042172C"/>
    <w:rsid w:val="0042286D"/>
    <w:rsid w:val="00422987"/>
    <w:rsid w:val="00423848"/>
    <w:rsid w:val="00423B00"/>
    <w:rsid w:val="00423BC5"/>
    <w:rsid w:val="00424618"/>
    <w:rsid w:val="00424F81"/>
    <w:rsid w:val="00425BF3"/>
    <w:rsid w:val="00426B54"/>
    <w:rsid w:val="0043055B"/>
    <w:rsid w:val="00430C8B"/>
    <w:rsid w:val="00430E15"/>
    <w:rsid w:val="00430EBF"/>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FF0"/>
    <w:rsid w:val="00445011"/>
    <w:rsid w:val="00445718"/>
    <w:rsid w:val="00445B58"/>
    <w:rsid w:val="004503A6"/>
    <w:rsid w:val="00450780"/>
    <w:rsid w:val="00450CB8"/>
    <w:rsid w:val="0045131A"/>
    <w:rsid w:val="00452321"/>
    <w:rsid w:val="004532D3"/>
    <w:rsid w:val="0045351B"/>
    <w:rsid w:val="00453FFC"/>
    <w:rsid w:val="00454359"/>
    <w:rsid w:val="004547E7"/>
    <w:rsid w:val="00454C98"/>
    <w:rsid w:val="00454F03"/>
    <w:rsid w:val="00455700"/>
    <w:rsid w:val="00455A7A"/>
    <w:rsid w:val="0045658E"/>
    <w:rsid w:val="0045699F"/>
    <w:rsid w:val="00456A94"/>
    <w:rsid w:val="0046034E"/>
    <w:rsid w:val="00461D31"/>
    <w:rsid w:val="00462F26"/>
    <w:rsid w:val="00464145"/>
    <w:rsid w:val="00464977"/>
    <w:rsid w:val="004651BA"/>
    <w:rsid w:val="00466133"/>
    <w:rsid w:val="00467D27"/>
    <w:rsid w:val="00470BA5"/>
    <w:rsid w:val="0047160E"/>
    <w:rsid w:val="00472418"/>
    <w:rsid w:val="00472E21"/>
    <w:rsid w:val="00473258"/>
    <w:rsid w:val="00473728"/>
    <w:rsid w:val="004738D5"/>
    <w:rsid w:val="004750D0"/>
    <w:rsid w:val="00475333"/>
    <w:rsid w:val="004760EC"/>
    <w:rsid w:val="004764A5"/>
    <w:rsid w:val="004765C0"/>
    <w:rsid w:val="00476E17"/>
    <w:rsid w:val="00477862"/>
    <w:rsid w:val="00480221"/>
    <w:rsid w:val="00480B8E"/>
    <w:rsid w:val="00480DD4"/>
    <w:rsid w:val="004828F9"/>
    <w:rsid w:val="0048373A"/>
    <w:rsid w:val="00484914"/>
    <w:rsid w:val="00486AAE"/>
    <w:rsid w:val="00487406"/>
    <w:rsid w:val="00490362"/>
    <w:rsid w:val="00491521"/>
    <w:rsid w:val="00492DED"/>
    <w:rsid w:val="00492F48"/>
    <w:rsid w:val="0049341B"/>
    <w:rsid w:val="004942D7"/>
    <w:rsid w:val="00494692"/>
    <w:rsid w:val="0049548A"/>
    <w:rsid w:val="00495D21"/>
    <w:rsid w:val="00497E6B"/>
    <w:rsid w:val="004A03F5"/>
    <w:rsid w:val="004A101F"/>
    <w:rsid w:val="004A2581"/>
    <w:rsid w:val="004A2776"/>
    <w:rsid w:val="004A293A"/>
    <w:rsid w:val="004A3124"/>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41E9"/>
    <w:rsid w:val="004D456D"/>
    <w:rsid w:val="004D5ECF"/>
    <w:rsid w:val="004D7C84"/>
    <w:rsid w:val="004E092E"/>
    <w:rsid w:val="004E0C79"/>
    <w:rsid w:val="004E18DA"/>
    <w:rsid w:val="004E1C6B"/>
    <w:rsid w:val="004E2114"/>
    <w:rsid w:val="004E245B"/>
    <w:rsid w:val="004E26AA"/>
    <w:rsid w:val="004E28F2"/>
    <w:rsid w:val="004E4674"/>
    <w:rsid w:val="004E47D4"/>
    <w:rsid w:val="004E566E"/>
    <w:rsid w:val="004E5848"/>
    <w:rsid w:val="004E5C19"/>
    <w:rsid w:val="004E662E"/>
    <w:rsid w:val="004F0916"/>
    <w:rsid w:val="004F1B5D"/>
    <w:rsid w:val="004F1E1C"/>
    <w:rsid w:val="004F1FE8"/>
    <w:rsid w:val="004F242F"/>
    <w:rsid w:val="004F275A"/>
    <w:rsid w:val="004F2C8A"/>
    <w:rsid w:val="004F2DDF"/>
    <w:rsid w:val="004F4274"/>
    <w:rsid w:val="004F5517"/>
    <w:rsid w:val="004F5902"/>
    <w:rsid w:val="004F5E12"/>
    <w:rsid w:val="004F690C"/>
    <w:rsid w:val="004F6A53"/>
    <w:rsid w:val="00501362"/>
    <w:rsid w:val="0050172B"/>
    <w:rsid w:val="00501B57"/>
    <w:rsid w:val="0050312B"/>
    <w:rsid w:val="00503537"/>
    <w:rsid w:val="00506571"/>
    <w:rsid w:val="00507647"/>
    <w:rsid w:val="0051029B"/>
    <w:rsid w:val="0051309B"/>
    <w:rsid w:val="005138DB"/>
    <w:rsid w:val="00513939"/>
    <w:rsid w:val="00513AD2"/>
    <w:rsid w:val="0051428A"/>
    <w:rsid w:val="00514D39"/>
    <w:rsid w:val="00515C26"/>
    <w:rsid w:val="00515FF3"/>
    <w:rsid w:val="00517047"/>
    <w:rsid w:val="0051795A"/>
    <w:rsid w:val="005206DF"/>
    <w:rsid w:val="00520A25"/>
    <w:rsid w:val="005215F8"/>
    <w:rsid w:val="00521D1E"/>
    <w:rsid w:val="0052234F"/>
    <w:rsid w:val="00523DA8"/>
    <w:rsid w:val="00524291"/>
    <w:rsid w:val="00524849"/>
    <w:rsid w:val="0052510D"/>
    <w:rsid w:val="00525798"/>
    <w:rsid w:val="00526B3A"/>
    <w:rsid w:val="00526BA6"/>
    <w:rsid w:val="00526BA9"/>
    <w:rsid w:val="00526F20"/>
    <w:rsid w:val="00527AA6"/>
    <w:rsid w:val="00527C26"/>
    <w:rsid w:val="00527F7C"/>
    <w:rsid w:val="00530238"/>
    <w:rsid w:val="00530838"/>
    <w:rsid w:val="00533693"/>
    <w:rsid w:val="00534988"/>
    <w:rsid w:val="00534B8F"/>
    <w:rsid w:val="00534E32"/>
    <w:rsid w:val="005358E1"/>
    <w:rsid w:val="00536454"/>
    <w:rsid w:val="005373F6"/>
    <w:rsid w:val="0053761A"/>
    <w:rsid w:val="00540418"/>
    <w:rsid w:val="005412EB"/>
    <w:rsid w:val="00542702"/>
    <w:rsid w:val="00543451"/>
    <w:rsid w:val="00545CF7"/>
    <w:rsid w:val="00546398"/>
    <w:rsid w:val="00546626"/>
    <w:rsid w:val="005469BE"/>
    <w:rsid w:val="00547566"/>
    <w:rsid w:val="00551823"/>
    <w:rsid w:val="00551F50"/>
    <w:rsid w:val="00552283"/>
    <w:rsid w:val="0055541D"/>
    <w:rsid w:val="00555F29"/>
    <w:rsid w:val="005603E0"/>
    <w:rsid w:val="005603F4"/>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E98"/>
    <w:rsid w:val="00581C60"/>
    <w:rsid w:val="0058479B"/>
    <w:rsid w:val="005847CD"/>
    <w:rsid w:val="005850A1"/>
    <w:rsid w:val="00585370"/>
    <w:rsid w:val="0058574F"/>
    <w:rsid w:val="00585976"/>
    <w:rsid w:val="00586DEE"/>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900"/>
    <w:rsid w:val="005A01C0"/>
    <w:rsid w:val="005A0713"/>
    <w:rsid w:val="005A1905"/>
    <w:rsid w:val="005A2026"/>
    <w:rsid w:val="005A2885"/>
    <w:rsid w:val="005A41A4"/>
    <w:rsid w:val="005A41D3"/>
    <w:rsid w:val="005A46F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755C"/>
    <w:rsid w:val="005C03C5"/>
    <w:rsid w:val="005C073D"/>
    <w:rsid w:val="005C12F5"/>
    <w:rsid w:val="005C1582"/>
    <w:rsid w:val="005C2EB2"/>
    <w:rsid w:val="005C37B9"/>
    <w:rsid w:val="005C4086"/>
    <w:rsid w:val="005C4255"/>
    <w:rsid w:val="005C43B1"/>
    <w:rsid w:val="005C50E3"/>
    <w:rsid w:val="005C5265"/>
    <w:rsid w:val="005C5918"/>
    <w:rsid w:val="005C5B55"/>
    <w:rsid w:val="005C631C"/>
    <w:rsid w:val="005C6CF2"/>
    <w:rsid w:val="005C6DA7"/>
    <w:rsid w:val="005C732B"/>
    <w:rsid w:val="005C7476"/>
    <w:rsid w:val="005D0698"/>
    <w:rsid w:val="005D08D4"/>
    <w:rsid w:val="005D130C"/>
    <w:rsid w:val="005D1E53"/>
    <w:rsid w:val="005D2A10"/>
    <w:rsid w:val="005D2F6E"/>
    <w:rsid w:val="005D3171"/>
    <w:rsid w:val="005D4712"/>
    <w:rsid w:val="005D4C4D"/>
    <w:rsid w:val="005D5618"/>
    <w:rsid w:val="005D724D"/>
    <w:rsid w:val="005D7666"/>
    <w:rsid w:val="005D7692"/>
    <w:rsid w:val="005D7ACB"/>
    <w:rsid w:val="005E0895"/>
    <w:rsid w:val="005E0945"/>
    <w:rsid w:val="005E0F67"/>
    <w:rsid w:val="005E104D"/>
    <w:rsid w:val="005E1E24"/>
    <w:rsid w:val="005E2428"/>
    <w:rsid w:val="005E333B"/>
    <w:rsid w:val="005E393E"/>
    <w:rsid w:val="005E5F42"/>
    <w:rsid w:val="005E7466"/>
    <w:rsid w:val="005E77A0"/>
    <w:rsid w:val="005F02B2"/>
    <w:rsid w:val="005F1590"/>
    <w:rsid w:val="005F28A5"/>
    <w:rsid w:val="005F2CDE"/>
    <w:rsid w:val="005F30D8"/>
    <w:rsid w:val="005F36DE"/>
    <w:rsid w:val="005F62EB"/>
    <w:rsid w:val="0060048D"/>
    <w:rsid w:val="0060078E"/>
    <w:rsid w:val="00600D2C"/>
    <w:rsid w:val="00601755"/>
    <w:rsid w:val="006024F1"/>
    <w:rsid w:val="00602F67"/>
    <w:rsid w:val="00603085"/>
    <w:rsid w:val="00604973"/>
    <w:rsid w:val="006055F5"/>
    <w:rsid w:val="00606323"/>
    <w:rsid w:val="00606668"/>
    <w:rsid w:val="00606C84"/>
    <w:rsid w:val="00606F5B"/>
    <w:rsid w:val="006072D1"/>
    <w:rsid w:val="00610D5E"/>
    <w:rsid w:val="00611C6C"/>
    <w:rsid w:val="00611C8B"/>
    <w:rsid w:val="00612DFB"/>
    <w:rsid w:val="00612E3D"/>
    <w:rsid w:val="0061312D"/>
    <w:rsid w:val="006136A9"/>
    <w:rsid w:val="0061690B"/>
    <w:rsid w:val="00616A55"/>
    <w:rsid w:val="0061792F"/>
    <w:rsid w:val="00617F09"/>
    <w:rsid w:val="0062089C"/>
    <w:rsid w:val="006209A1"/>
    <w:rsid w:val="0062184F"/>
    <w:rsid w:val="00623121"/>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1BE"/>
    <w:rsid w:val="00634DE2"/>
    <w:rsid w:val="00635157"/>
    <w:rsid w:val="00635300"/>
    <w:rsid w:val="0063536F"/>
    <w:rsid w:val="0063606C"/>
    <w:rsid w:val="00636DB9"/>
    <w:rsid w:val="006378AB"/>
    <w:rsid w:val="006405EE"/>
    <w:rsid w:val="006428AD"/>
    <w:rsid w:val="006443A3"/>
    <w:rsid w:val="00644875"/>
    <w:rsid w:val="00644E1E"/>
    <w:rsid w:val="00644FD6"/>
    <w:rsid w:val="00645A2C"/>
    <w:rsid w:val="00645FF8"/>
    <w:rsid w:val="00647B80"/>
    <w:rsid w:val="006501FB"/>
    <w:rsid w:val="006505BB"/>
    <w:rsid w:val="00652686"/>
    <w:rsid w:val="0065395D"/>
    <w:rsid w:val="006549F5"/>
    <w:rsid w:val="006558AC"/>
    <w:rsid w:val="00657FA5"/>
    <w:rsid w:val="00660236"/>
    <w:rsid w:val="00660243"/>
    <w:rsid w:val="00662DD1"/>
    <w:rsid w:val="006640ED"/>
    <w:rsid w:val="00664640"/>
    <w:rsid w:val="00664EAE"/>
    <w:rsid w:val="00665727"/>
    <w:rsid w:val="00665B42"/>
    <w:rsid w:val="00665E51"/>
    <w:rsid w:val="00665EC6"/>
    <w:rsid w:val="006676F7"/>
    <w:rsid w:val="006710F0"/>
    <w:rsid w:val="00672AE9"/>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A57"/>
    <w:rsid w:val="0068717B"/>
    <w:rsid w:val="00690274"/>
    <w:rsid w:val="00690A68"/>
    <w:rsid w:val="00690FBF"/>
    <w:rsid w:val="00692670"/>
    <w:rsid w:val="006959D9"/>
    <w:rsid w:val="00695AB5"/>
    <w:rsid w:val="00695C2A"/>
    <w:rsid w:val="006964AB"/>
    <w:rsid w:val="006967A1"/>
    <w:rsid w:val="006A008E"/>
    <w:rsid w:val="006A0123"/>
    <w:rsid w:val="006A0911"/>
    <w:rsid w:val="006A0D04"/>
    <w:rsid w:val="006A173A"/>
    <w:rsid w:val="006A235B"/>
    <w:rsid w:val="006A28C4"/>
    <w:rsid w:val="006A3767"/>
    <w:rsid w:val="006A3DBA"/>
    <w:rsid w:val="006A3DC0"/>
    <w:rsid w:val="006A42D5"/>
    <w:rsid w:val="006A4F15"/>
    <w:rsid w:val="006A519E"/>
    <w:rsid w:val="006A60B8"/>
    <w:rsid w:val="006A6270"/>
    <w:rsid w:val="006A6588"/>
    <w:rsid w:val="006A6C65"/>
    <w:rsid w:val="006A7373"/>
    <w:rsid w:val="006A7E6A"/>
    <w:rsid w:val="006B06CE"/>
    <w:rsid w:val="006B1A1A"/>
    <w:rsid w:val="006B1F6E"/>
    <w:rsid w:val="006B1FD6"/>
    <w:rsid w:val="006B34E9"/>
    <w:rsid w:val="006B3883"/>
    <w:rsid w:val="006B40FB"/>
    <w:rsid w:val="006B4466"/>
    <w:rsid w:val="006B5ADB"/>
    <w:rsid w:val="006B5BA5"/>
    <w:rsid w:val="006B6C07"/>
    <w:rsid w:val="006B7B92"/>
    <w:rsid w:val="006C1BDE"/>
    <w:rsid w:val="006C4DDC"/>
    <w:rsid w:val="006C7A60"/>
    <w:rsid w:val="006C7CC6"/>
    <w:rsid w:val="006D0EB0"/>
    <w:rsid w:val="006D0F32"/>
    <w:rsid w:val="006D1489"/>
    <w:rsid w:val="006D1A68"/>
    <w:rsid w:val="006D240E"/>
    <w:rsid w:val="006D270D"/>
    <w:rsid w:val="006D45E4"/>
    <w:rsid w:val="006D46BC"/>
    <w:rsid w:val="006D4BE3"/>
    <w:rsid w:val="006D5CBF"/>
    <w:rsid w:val="006D5CF6"/>
    <w:rsid w:val="006D6DA8"/>
    <w:rsid w:val="006D726D"/>
    <w:rsid w:val="006D737D"/>
    <w:rsid w:val="006E0FC0"/>
    <w:rsid w:val="006E119D"/>
    <w:rsid w:val="006E1406"/>
    <w:rsid w:val="006E1ABD"/>
    <w:rsid w:val="006E1B8E"/>
    <w:rsid w:val="006E40EF"/>
    <w:rsid w:val="006E4468"/>
    <w:rsid w:val="006E4A95"/>
    <w:rsid w:val="006E523D"/>
    <w:rsid w:val="006E5E3D"/>
    <w:rsid w:val="006E6162"/>
    <w:rsid w:val="006E6C24"/>
    <w:rsid w:val="006F038D"/>
    <w:rsid w:val="006F0AF9"/>
    <w:rsid w:val="006F13B9"/>
    <w:rsid w:val="006F1808"/>
    <w:rsid w:val="006F18EE"/>
    <w:rsid w:val="006F1A9D"/>
    <w:rsid w:val="006F1F62"/>
    <w:rsid w:val="006F2151"/>
    <w:rsid w:val="006F2848"/>
    <w:rsid w:val="006F3114"/>
    <w:rsid w:val="006F4766"/>
    <w:rsid w:val="006F4E2A"/>
    <w:rsid w:val="006F53E7"/>
    <w:rsid w:val="006F57A7"/>
    <w:rsid w:val="006F655A"/>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6F"/>
    <w:rsid w:val="0071668A"/>
    <w:rsid w:val="0071737C"/>
    <w:rsid w:val="00717386"/>
    <w:rsid w:val="0071740D"/>
    <w:rsid w:val="00717E94"/>
    <w:rsid w:val="007215BE"/>
    <w:rsid w:val="007216F9"/>
    <w:rsid w:val="007224AE"/>
    <w:rsid w:val="00722ED6"/>
    <w:rsid w:val="0072350E"/>
    <w:rsid w:val="00723539"/>
    <w:rsid w:val="00723DDE"/>
    <w:rsid w:val="0072549A"/>
    <w:rsid w:val="00725728"/>
    <w:rsid w:val="007317D9"/>
    <w:rsid w:val="00731A2F"/>
    <w:rsid w:val="00731EE4"/>
    <w:rsid w:val="00732832"/>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6FA2"/>
    <w:rsid w:val="00747209"/>
    <w:rsid w:val="00747C65"/>
    <w:rsid w:val="00750E39"/>
    <w:rsid w:val="00750F60"/>
    <w:rsid w:val="007510F9"/>
    <w:rsid w:val="00751442"/>
    <w:rsid w:val="0075157C"/>
    <w:rsid w:val="007532F2"/>
    <w:rsid w:val="007534E8"/>
    <w:rsid w:val="00753A77"/>
    <w:rsid w:val="007544BF"/>
    <w:rsid w:val="007545DC"/>
    <w:rsid w:val="007563EB"/>
    <w:rsid w:val="00756466"/>
    <w:rsid w:val="007570D5"/>
    <w:rsid w:val="00760609"/>
    <w:rsid w:val="0076319C"/>
    <w:rsid w:val="007643D8"/>
    <w:rsid w:val="00766908"/>
    <w:rsid w:val="00767269"/>
    <w:rsid w:val="00767978"/>
    <w:rsid w:val="007679C9"/>
    <w:rsid w:val="00767C3A"/>
    <w:rsid w:val="00770391"/>
    <w:rsid w:val="0077086A"/>
    <w:rsid w:val="0077159E"/>
    <w:rsid w:val="00772694"/>
    <w:rsid w:val="00772E57"/>
    <w:rsid w:val="00773B20"/>
    <w:rsid w:val="00774313"/>
    <w:rsid w:val="00774FF6"/>
    <w:rsid w:val="00776BDC"/>
    <w:rsid w:val="007770C3"/>
    <w:rsid w:val="00777852"/>
    <w:rsid w:val="00780AFE"/>
    <w:rsid w:val="00782999"/>
    <w:rsid w:val="007837FD"/>
    <w:rsid w:val="00783B63"/>
    <w:rsid w:val="007841AC"/>
    <w:rsid w:val="0078463C"/>
    <w:rsid w:val="00784A30"/>
    <w:rsid w:val="007851D3"/>
    <w:rsid w:val="007860E3"/>
    <w:rsid w:val="007879E1"/>
    <w:rsid w:val="00787A23"/>
    <w:rsid w:val="00790AD6"/>
    <w:rsid w:val="00790DCE"/>
    <w:rsid w:val="007913D7"/>
    <w:rsid w:val="007914F1"/>
    <w:rsid w:val="007917CD"/>
    <w:rsid w:val="00791CB7"/>
    <w:rsid w:val="00791D47"/>
    <w:rsid w:val="007920AB"/>
    <w:rsid w:val="00793369"/>
    <w:rsid w:val="0079626F"/>
    <w:rsid w:val="00796382"/>
    <w:rsid w:val="0079765F"/>
    <w:rsid w:val="0079770C"/>
    <w:rsid w:val="007A1399"/>
    <w:rsid w:val="007A31B0"/>
    <w:rsid w:val="007A3240"/>
    <w:rsid w:val="007A35CA"/>
    <w:rsid w:val="007A361E"/>
    <w:rsid w:val="007A3A89"/>
    <w:rsid w:val="007A4730"/>
    <w:rsid w:val="007A4D30"/>
    <w:rsid w:val="007A51E1"/>
    <w:rsid w:val="007A60E7"/>
    <w:rsid w:val="007A62BD"/>
    <w:rsid w:val="007A6402"/>
    <w:rsid w:val="007A65EB"/>
    <w:rsid w:val="007A71DF"/>
    <w:rsid w:val="007B12A4"/>
    <w:rsid w:val="007B3EDE"/>
    <w:rsid w:val="007B460A"/>
    <w:rsid w:val="007B47ED"/>
    <w:rsid w:val="007B5AAF"/>
    <w:rsid w:val="007B6236"/>
    <w:rsid w:val="007B7181"/>
    <w:rsid w:val="007C002A"/>
    <w:rsid w:val="007C077B"/>
    <w:rsid w:val="007C2277"/>
    <w:rsid w:val="007C4004"/>
    <w:rsid w:val="007C4758"/>
    <w:rsid w:val="007C563E"/>
    <w:rsid w:val="007C5650"/>
    <w:rsid w:val="007C567F"/>
    <w:rsid w:val="007C58AC"/>
    <w:rsid w:val="007C6338"/>
    <w:rsid w:val="007C6B71"/>
    <w:rsid w:val="007D04CE"/>
    <w:rsid w:val="007D1755"/>
    <w:rsid w:val="007D2982"/>
    <w:rsid w:val="007D3A89"/>
    <w:rsid w:val="007D3D7E"/>
    <w:rsid w:val="007D447D"/>
    <w:rsid w:val="007D449A"/>
    <w:rsid w:val="007D4573"/>
    <w:rsid w:val="007D5BF9"/>
    <w:rsid w:val="007D5CBF"/>
    <w:rsid w:val="007D62BC"/>
    <w:rsid w:val="007D6EBA"/>
    <w:rsid w:val="007E16AF"/>
    <w:rsid w:val="007E181E"/>
    <w:rsid w:val="007E29CD"/>
    <w:rsid w:val="007E2D9A"/>
    <w:rsid w:val="007E344E"/>
    <w:rsid w:val="007E35BA"/>
    <w:rsid w:val="007E43F4"/>
    <w:rsid w:val="007E6186"/>
    <w:rsid w:val="007E6374"/>
    <w:rsid w:val="007E71FF"/>
    <w:rsid w:val="007E7278"/>
    <w:rsid w:val="007F10C4"/>
    <w:rsid w:val="007F1120"/>
    <w:rsid w:val="007F3308"/>
    <w:rsid w:val="007F3EDC"/>
    <w:rsid w:val="007F5577"/>
    <w:rsid w:val="007F5839"/>
    <w:rsid w:val="007F67C4"/>
    <w:rsid w:val="007F69CC"/>
    <w:rsid w:val="007F6EAD"/>
    <w:rsid w:val="007F7447"/>
    <w:rsid w:val="0080062F"/>
    <w:rsid w:val="0080184D"/>
    <w:rsid w:val="00801890"/>
    <w:rsid w:val="008018EA"/>
    <w:rsid w:val="00802D76"/>
    <w:rsid w:val="008035BF"/>
    <w:rsid w:val="00803FF5"/>
    <w:rsid w:val="0080503F"/>
    <w:rsid w:val="008115A9"/>
    <w:rsid w:val="008118ED"/>
    <w:rsid w:val="00811A0D"/>
    <w:rsid w:val="00813C15"/>
    <w:rsid w:val="008148F3"/>
    <w:rsid w:val="0081499C"/>
    <w:rsid w:val="008151C3"/>
    <w:rsid w:val="008164AE"/>
    <w:rsid w:val="00817910"/>
    <w:rsid w:val="0082026A"/>
    <w:rsid w:val="00820E4A"/>
    <w:rsid w:val="00825DD5"/>
    <w:rsid w:val="00826C42"/>
    <w:rsid w:val="00826DD4"/>
    <w:rsid w:val="008279FB"/>
    <w:rsid w:val="008309EC"/>
    <w:rsid w:val="008310B8"/>
    <w:rsid w:val="008318B9"/>
    <w:rsid w:val="008323DD"/>
    <w:rsid w:val="00832823"/>
    <w:rsid w:val="00832AE6"/>
    <w:rsid w:val="00833033"/>
    <w:rsid w:val="00833336"/>
    <w:rsid w:val="00835BB4"/>
    <w:rsid w:val="00836128"/>
    <w:rsid w:val="00837834"/>
    <w:rsid w:val="008379EE"/>
    <w:rsid w:val="008401F5"/>
    <w:rsid w:val="008407D1"/>
    <w:rsid w:val="00841412"/>
    <w:rsid w:val="008420A0"/>
    <w:rsid w:val="008423C4"/>
    <w:rsid w:val="008423FB"/>
    <w:rsid w:val="00843952"/>
    <w:rsid w:val="008439E1"/>
    <w:rsid w:val="00844397"/>
    <w:rsid w:val="00844AE3"/>
    <w:rsid w:val="00845430"/>
    <w:rsid w:val="00845B5E"/>
    <w:rsid w:val="00845E90"/>
    <w:rsid w:val="00850073"/>
    <w:rsid w:val="00850C7B"/>
    <w:rsid w:val="00850F58"/>
    <w:rsid w:val="008510AE"/>
    <w:rsid w:val="00851341"/>
    <w:rsid w:val="00851FD8"/>
    <w:rsid w:val="00852676"/>
    <w:rsid w:val="008533EF"/>
    <w:rsid w:val="00853D76"/>
    <w:rsid w:val="008543AB"/>
    <w:rsid w:val="0085583B"/>
    <w:rsid w:val="00855D5B"/>
    <w:rsid w:val="008564CB"/>
    <w:rsid w:val="00856749"/>
    <w:rsid w:val="00856A1E"/>
    <w:rsid w:val="00856BD9"/>
    <w:rsid w:val="00857397"/>
    <w:rsid w:val="00860A23"/>
    <w:rsid w:val="00861A49"/>
    <w:rsid w:val="00863D2C"/>
    <w:rsid w:val="00863DB3"/>
    <w:rsid w:val="008641B8"/>
    <w:rsid w:val="008646C1"/>
    <w:rsid w:val="008650C2"/>
    <w:rsid w:val="00865785"/>
    <w:rsid w:val="00866411"/>
    <w:rsid w:val="008668E6"/>
    <w:rsid w:val="00867A1F"/>
    <w:rsid w:val="00867EDE"/>
    <w:rsid w:val="008739A3"/>
    <w:rsid w:val="00875771"/>
    <w:rsid w:val="0087610E"/>
    <w:rsid w:val="00877388"/>
    <w:rsid w:val="0087762D"/>
    <w:rsid w:val="00877982"/>
    <w:rsid w:val="00877A09"/>
    <w:rsid w:val="00877D06"/>
    <w:rsid w:val="00880E44"/>
    <w:rsid w:val="00882DAD"/>
    <w:rsid w:val="008843B7"/>
    <w:rsid w:val="008846F5"/>
    <w:rsid w:val="00884A8E"/>
    <w:rsid w:val="00885138"/>
    <w:rsid w:val="008857F0"/>
    <w:rsid w:val="00885ED6"/>
    <w:rsid w:val="00886AB0"/>
    <w:rsid w:val="00887653"/>
    <w:rsid w:val="0088784D"/>
    <w:rsid w:val="00890FE2"/>
    <w:rsid w:val="0089171A"/>
    <w:rsid w:val="0089184F"/>
    <w:rsid w:val="008920D3"/>
    <w:rsid w:val="00893201"/>
    <w:rsid w:val="00893F40"/>
    <w:rsid w:val="0089443F"/>
    <w:rsid w:val="00894767"/>
    <w:rsid w:val="008948D7"/>
    <w:rsid w:val="00895AE0"/>
    <w:rsid w:val="008973A0"/>
    <w:rsid w:val="00897BDC"/>
    <w:rsid w:val="008A08A5"/>
    <w:rsid w:val="008A0B72"/>
    <w:rsid w:val="008A152D"/>
    <w:rsid w:val="008A16E5"/>
    <w:rsid w:val="008A182A"/>
    <w:rsid w:val="008A2B89"/>
    <w:rsid w:val="008A3FC1"/>
    <w:rsid w:val="008A7875"/>
    <w:rsid w:val="008A7E65"/>
    <w:rsid w:val="008B19C4"/>
    <w:rsid w:val="008B3136"/>
    <w:rsid w:val="008B3297"/>
    <w:rsid w:val="008B3624"/>
    <w:rsid w:val="008B3697"/>
    <w:rsid w:val="008B49A6"/>
    <w:rsid w:val="008B5ECD"/>
    <w:rsid w:val="008B6B0E"/>
    <w:rsid w:val="008B74E2"/>
    <w:rsid w:val="008C0445"/>
    <w:rsid w:val="008C2527"/>
    <w:rsid w:val="008C346E"/>
    <w:rsid w:val="008C37A2"/>
    <w:rsid w:val="008C3A07"/>
    <w:rsid w:val="008C3CBB"/>
    <w:rsid w:val="008C47E4"/>
    <w:rsid w:val="008C4E7B"/>
    <w:rsid w:val="008C63E0"/>
    <w:rsid w:val="008C6A52"/>
    <w:rsid w:val="008D16A6"/>
    <w:rsid w:val="008D1C83"/>
    <w:rsid w:val="008D2449"/>
    <w:rsid w:val="008D2C3F"/>
    <w:rsid w:val="008D393A"/>
    <w:rsid w:val="008D3A78"/>
    <w:rsid w:val="008D44DC"/>
    <w:rsid w:val="008D58B2"/>
    <w:rsid w:val="008D59F9"/>
    <w:rsid w:val="008D5AD0"/>
    <w:rsid w:val="008D5E61"/>
    <w:rsid w:val="008D66EE"/>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CED"/>
    <w:rsid w:val="008F7B55"/>
    <w:rsid w:val="009007A1"/>
    <w:rsid w:val="009007B0"/>
    <w:rsid w:val="00901260"/>
    <w:rsid w:val="00902FA7"/>
    <w:rsid w:val="00903CCC"/>
    <w:rsid w:val="00906CB7"/>
    <w:rsid w:val="00906D76"/>
    <w:rsid w:val="00907646"/>
    <w:rsid w:val="00907FE1"/>
    <w:rsid w:val="0091104F"/>
    <w:rsid w:val="009125B5"/>
    <w:rsid w:val="00912A54"/>
    <w:rsid w:val="009146A3"/>
    <w:rsid w:val="00914FF3"/>
    <w:rsid w:val="0091565A"/>
    <w:rsid w:val="00915817"/>
    <w:rsid w:val="00915CB2"/>
    <w:rsid w:val="00916B83"/>
    <w:rsid w:val="00916CB5"/>
    <w:rsid w:val="00917AA2"/>
    <w:rsid w:val="00917BEE"/>
    <w:rsid w:val="00917CA7"/>
    <w:rsid w:val="00917DCA"/>
    <w:rsid w:val="00921FC4"/>
    <w:rsid w:val="009223FC"/>
    <w:rsid w:val="00923300"/>
    <w:rsid w:val="00923783"/>
    <w:rsid w:val="00923F0F"/>
    <w:rsid w:val="00924822"/>
    <w:rsid w:val="00925E76"/>
    <w:rsid w:val="009269BF"/>
    <w:rsid w:val="00927A3A"/>
    <w:rsid w:val="00931892"/>
    <w:rsid w:val="00931B60"/>
    <w:rsid w:val="00931FFB"/>
    <w:rsid w:val="0093218B"/>
    <w:rsid w:val="00932612"/>
    <w:rsid w:val="00932A0F"/>
    <w:rsid w:val="00932E02"/>
    <w:rsid w:val="00932F33"/>
    <w:rsid w:val="00934D1A"/>
    <w:rsid w:val="009357F0"/>
    <w:rsid w:val="00935C78"/>
    <w:rsid w:val="0093612C"/>
    <w:rsid w:val="009365B6"/>
    <w:rsid w:val="00937C46"/>
    <w:rsid w:val="00937F5C"/>
    <w:rsid w:val="0094046C"/>
    <w:rsid w:val="00940ED6"/>
    <w:rsid w:val="00941211"/>
    <w:rsid w:val="009422AF"/>
    <w:rsid w:val="00947BBC"/>
    <w:rsid w:val="00947D29"/>
    <w:rsid w:val="00947DCB"/>
    <w:rsid w:val="00951333"/>
    <w:rsid w:val="00951632"/>
    <w:rsid w:val="00951DF5"/>
    <w:rsid w:val="0095370E"/>
    <w:rsid w:val="00953804"/>
    <w:rsid w:val="00953E09"/>
    <w:rsid w:val="00954E15"/>
    <w:rsid w:val="0095526B"/>
    <w:rsid w:val="0095531F"/>
    <w:rsid w:val="0095614E"/>
    <w:rsid w:val="0095630D"/>
    <w:rsid w:val="00956FA4"/>
    <w:rsid w:val="009572B3"/>
    <w:rsid w:val="00957605"/>
    <w:rsid w:val="009602D2"/>
    <w:rsid w:val="00960599"/>
    <w:rsid w:val="0096066E"/>
    <w:rsid w:val="00960A25"/>
    <w:rsid w:val="00963BA4"/>
    <w:rsid w:val="00963FB8"/>
    <w:rsid w:val="009641DB"/>
    <w:rsid w:val="00964BF7"/>
    <w:rsid w:val="00970D85"/>
    <w:rsid w:val="00972004"/>
    <w:rsid w:val="009724D7"/>
    <w:rsid w:val="00972B2E"/>
    <w:rsid w:val="00973939"/>
    <w:rsid w:val="00973E7F"/>
    <w:rsid w:val="00975111"/>
    <w:rsid w:val="0097560A"/>
    <w:rsid w:val="00975B23"/>
    <w:rsid w:val="00975E47"/>
    <w:rsid w:val="00975F76"/>
    <w:rsid w:val="009771A0"/>
    <w:rsid w:val="009777BD"/>
    <w:rsid w:val="00980F0E"/>
    <w:rsid w:val="00981546"/>
    <w:rsid w:val="00981750"/>
    <w:rsid w:val="00981C7C"/>
    <w:rsid w:val="009821AE"/>
    <w:rsid w:val="00982227"/>
    <w:rsid w:val="009825EF"/>
    <w:rsid w:val="0098483D"/>
    <w:rsid w:val="00984B86"/>
    <w:rsid w:val="0098534B"/>
    <w:rsid w:val="00985DB7"/>
    <w:rsid w:val="009876CF"/>
    <w:rsid w:val="0099052E"/>
    <w:rsid w:val="009908AF"/>
    <w:rsid w:val="00990B7D"/>
    <w:rsid w:val="00991969"/>
    <w:rsid w:val="00992F6D"/>
    <w:rsid w:val="00993813"/>
    <w:rsid w:val="00993D09"/>
    <w:rsid w:val="00994369"/>
    <w:rsid w:val="0099446B"/>
    <w:rsid w:val="00994F73"/>
    <w:rsid w:val="009961A5"/>
    <w:rsid w:val="0099648A"/>
    <w:rsid w:val="009A10B8"/>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570D"/>
    <w:rsid w:val="009B64DF"/>
    <w:rsid w:val="009B7124"/>
    <w:rsid w:val="009C0795"/>
    <w:rsid w:val="009C08A5"/>
    <w:rsid w:val="009C0B74"/>
    <w:rsid w:val="009C0B88"/>
    <w:rsid w:val="009C0D37"/>
    <w:rsid w:val="009C1AD8"/>
    <w:rsid w:val="009C1DE1"/>
    <w:rsid w:val="009C31AB"/>
    <w:rsid w:val="009C32E7"/>
    <w:rsid w:val="009C4081"/>
    <w:rsid w:val="009C4AC9"/>
    <w:rsid w:val="009C4B7D"/>
    <w:rsid w:val="009C55C4"/>
    <w:rsid w:val="009C576D"/>
    <w:rsid w:val="009C64E0"/>
    <w:rsid w:val="009C65A4"/>
    <w:rsid w:val="009C65BE"/>
    <w:rsid w:val="009C6774"/>
    <w:rsid w:val="009C682C"/>
    <w:rsid w:val="009C757E"/>
    <w:rsid w:val="009C7DA6"/>
    <w:rsid w:val="009D0D43"/>
    <w:rsid w:val="009D1575"/>
    <w:rsid w:val="009D1ABA"/>
    <w:rsid w:val="009D1DBB"/>
    <w:rsid w:val="009D283D"/>
    <w:rsid w:val="009D2D3F"/>
    <w:rsid w:val="009D374E"/>
    <w:rsid w:val="009D42CA"/>
    <w:rsid w:val="009D5560"/>
    <w:rsid w:val="009D6ACE"/>
    <w:rsid w:val="009D6B01"/>
    <w:rsid w:val="009D6C90"/>
    <w:rsid w:val="009D7232"/>
    <w:rsid w:val="009D76E5"/>
    <w:rsid w:val="009D7866"/>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5C0A"/>
    <w:rsid w:val="009F63E8"/>
    <w:rsid w:val="009F6F9B"/>
    <w:rsid w:val="009F7621"/>
    <w:rsid w:val="00A00B89"/>
    <w:rsid w:val="00A01729"/>
    <w:rsid w:val="00A03206"/>
    <w:rsid w:val="00A0385D"/>
    <w:rsid w:val="00A03F5E"/>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BF7"/>
    <w:rsid w:val="00A52F70"/>
    <w:rsid w:val="00A53538"/>
    <w:rsid w:val="00A55165"/>
    <w:rsid w:val="00A5530B"/>
    <w:rsid w:val="00A560C6"/>
    <w:rsid w:val="00A5649C"/>
    <w:rsid w:val="00A5736E"/>
    <w:rsid w:val="00A608CE"/>
    <w:rsid w:val="00A60E7B"/>
    <w:rsid w:val="00A61444"/>
    <w:rsid w:val="00A61D01"/>
    <w:rsid w:val="00A62933"/>
    <w:rsid w:val="00A631FD"/>
    <w:rsid w:val="00A6396C"/>
    <w:rsid w:val="00A641DC"/>
    <w:rsid w:val="00A642A4"/>
    <w:rsid w:val="00A64912"/>
    <w:rsid w:val="00A64CC2"/>
    <w:rsid w:val="00A64FA6"/>
    <w:rsid w:val="00A67321"/>
    <w:rsid w:val="00A677C1"/>
    <w:rsid w:val="00A67B92"/>
    <w:rsid w:val="00A67E06"/>
    <w:rsid w:val="00A7066F"/>
    <w:rsid w:val="00A70880"/>
    <w:rsid w:val="00A70CB1"/>
    <w:rsid w:val="00A727CF"/>
    <w:rsid w:val="00A7291D"/>
    <w:rsid w:val="00A7395C"/>
    <w:rsid w:val="00A741FA"/>
    <w:rsid w:val="00A75305"/>
    <w:rsid w:val="00A7629B"/>
    <w:rsid w:val="00A7645C"/>
    <w:rsid w:val="00A7657F"/>
    <w:rsid w:val="00A76B77"/>
    <w:rsid w:val="00A77D34"/>
    <w:rsid w:val="00A817F0"/>
    <w:rsid w:val="00A826E5"/>
    <w:rsid w:val="00A8410B"/>
    <w:rsid w:val="00A854EA"/>
    <w:rsid w:val="00A86527"/>
    <w:rsid w:val="00A866A9"/>
    <w:rsid w:val="00A86D07"/>
    <w:rsid w:val="00A872BC"/>
    <w:rsid w:val="00A87902"/>
    <w:rsid w:val="00A90393"/>
    <w:rsid w:val="00A907CC"/>
    <w:rsid w:val="00A914F7"/>
    <w:rsid w:val="00A915D7"/>
    <w:rsid w:val="00A91D99"/>
    <w:rsid w:val="00A92890"/>
    <w:rsid w:val="00A92C80"/>
    <w:rsid w:val="00A93319"/>
    <w:rsid w:val="00A95AD8"/>
    <w:rsid w:val="00A95D9A"/>
    <w:rsid w:val="00A96420"/>
    <w:rsid w:val="00A97AC6"/>
    <w:rsid w:val="00AA00F1"/>
    <w:rsid w:val="00AA084B"/>
    <w:rsid w:val="00AA12ED"/>
    <w:rsid w:val="00AA1315"/>
    <w:rsid w:val="00AA1A24"/>
    <w:rsid w:val="00AA2708"/>
    <w:rsid w:val="00AA29A6"/>
    <w:rsid w:val="00AA3E52"/>
    <w:rsid w:val="00AA400E"/>
    <w:rsid w:val="00AA49E6"/>
    <w:rsid w:val="00AA4D41"/>
    <w:rsid w:val="00AA5CDB"/>
    <w:rsid w:val="00AA63DA"/>
    <w:rsid w:val="00AA6D19"/>
    <w:rsid w:val="00AA6E44"/>
    <w:rsid w:val="00AA7070"/>
    <w:rsid w:val="00AB037D"/>
    <w:rsid w:val="00AB0936"/>
    <w:rsid w:val="00AB142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2C7E"/>
    <w:rsid w:val="00AC2E2A"/>
    <w:rsid w:val="00AC3662"/>
    <w:rsid w:val="00AC3C50"/>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10EF"/>
    <w:rsid w:val="00AE11C9"/>
    <w:rsid w:val="00AE1637"/>
    <w:rsid w:val="00AE17D3"/>
    <w:rsid w:val="00AE1EF1"/>
    <w:rsid w:val="00AE1F62"/>
    <w:rsid w:val="00AE224A"/>
    <w:rsid w:val="00AE3D8A"/>
    <w:rsid w:val="00AE4DB5"/>
    <w:rsid w:val="00AE5068"/>
    <w:rsid w:val="00AE5906"/>
    <w:rsid w:val="00AE5CD5"/>
    <w:rsid w:val="00AE6873"/>
    <w:rsid w:val="00AE6D61"/>
    <w:rsid w:val="00AE7202"/>
    <w:rsid w:val="00AE78F9"/>
    <w:rsid w:val="00AE7C22"/>
    <w:rsid w:val="00AF00BF"/>
    <w:rsid w:val="00AF1C67"/>
    <w:rsid w:val="00AF1CF2"/>
    <w:rsid w:val="00AF1D5C"/>
    <w:rsid w:val="00AF267F"/>
    <w:rsid w:val="00AF36FD"/>
    <w:rsid w:val="00AF38E8"/>
    <w:rsid w:val="00AF3A61"/>
    <w:rsid w:val="00AF40E6"/>
    <w:rsid w:val="00AF4106"/>
    <w:rsid w:val="00AF4981"/>
    <w:rsid w:val="00AF55B2"/>
    <w:rsid w:val="00AF6742"/>
    <w:rsid w:val="00AF6BF8"/>
    <w:rsid w:val="00AF76E2"/>
    <w:rsid w:val="00AF781A"/>
    <w:rsid w:val="00AF78C6"/>
    <w:rsid w:val="00AF7E45"/>
    <w:rsid w:val="00B006F4"/>
    <w:rsid w:val="00B00746"/>
    <w:rsid w:val="00B00F15"/>
    <w:rsid w:val="00B01756"/>
    <w:rsid w:val="00B0255C"/>
    <w:rsid w:val="00B03AE5"/>
    <w:rsid w:val="00B04937"/>
    <w:rsid w:val="00B05038"/>
    <w:rsid w:val="00B059A5"/>
    <w:rsid w:val="00B06044"/>
    <w:rsid w:val="00B07273"/>
    <w:rsid w:val="00B1050D"/>
    <w:rsid w:val="00B12ACC"/>
    <w:rsid w:val="00B12E1F"/>
    <w:rsid w:val="00B13A62"/>
    <w:rsid w:val="00B14011"/>
    <w:rsid w:val="00B1402B"/>
    <w:rsid w:val="00B1441E"/>
    <w:rsid w:val="00B1490F"/>
    <w:rsid w:val="00B16D7E"/>
    <w:rsid w:val="00B16EAE"/>
    <w:rsid w:val="00B171F5"/>
    <w:rsid w:val="00B173DC"/>
    <w:rsid w:val="00B20740"/>
    <w:rsid w:val="00B224CF"/>
    <w:rsid w:val="00B229E8"/>
    <w:rsid w:val="00B241B2"/>
    <w:rsid w:val="00B24991"/>
    <w:rsid w:val="00B252A7"/>
    <w:rsid w:val="00B25C81"/>
    <w:rsid w:val="00B26851"/>
    <w:rsid w:val="00B312A6"/>
    <w:rsid w:val="00B3143A"/>
    <w:rsid w:val="00B331A5"/>
    <w:rsid w:val="00B339C0"/>
    <w:rsid w:val="00B344F6"/>
    <w:rsid w:val="00B35372"/>
    <w:rsid w:val="00B36071"/>
    <w:rsid w:val="00B36686"/>
    <w:rsid w:val="00B366B1"/>
    <w:rsid w:val="00B371B8"/>
    <w:rsid w:val="00B41981"/>
    <w:rsid w:val="00B42C43"/>
    <w:rsid w:val="00B42C6F"/>
    <w:rsid w:val="00B4374B"/>
    <w:rsid w:val="00B4510F"/>
    <w:rsid w:val="00B4562F"/>
    <w:rsid w:val="00B467CE"/>
    <w:rsid w:val="00B511A6"/>
    <w:rsid w:val="00B520ED"/>
    <w:rsid w:val="00B52790"/>
    <w:rsid w:val="00B53C46"/>
    <w:rsid w:val="00B5685C"/>
    <w:rsid w:val="00B61DD2"/>
    <w:rsid w:val="00B63333"/>
    <w:rsid w:val="00B635D5"/>
    <w:rsid w:val="00B64123"/>
    <w:rsid w:val="00B64175"/>
    <w:rsid w:val="00B64A4C"/>
    <w:rsid w:val="00B65B09"/>
    <w:rsid w:val="00B6611E"/>
    <w:rsid w:val="00B6643D"/>
    <w:rsid w:val="00B664EC"/>
    <w:rsid w:val="00B66BBC"/>
    <w:rsid w:val="00B676CB"/>
    <w:rsid w:val="00B702A2"/>
    <w:rsid w:val="00B70707"/>
    <w:rsid w:val="00B73EDF"/>
    <w:rsid w:val="00B742FC"/>
    <w:rsid w:val="00B74727"/>
    <w:rsid w:val="00B766F4"/>
    <w:rsid w:val="00B76E86"/>
    <w:rsid w:val="00B7780C"/>
    <w:rsid w:val="00B779B9"/>
    <w:rsid w:val="00B80651"/>
    <w:rsid w:val="00B8267C"/>
    <w:rsid w:val="00B83CF4"/>
    <w:rsid w:val="00B84B74"/>
    <w:rsid w:val="00B85276"/>
    <w:rsid w:val="00B85AC9"/>
    <w:rsid w:val="00B85F0E"/>
    <w:rsid w:val="00B8699C"/>
    <w:rsid w:val="00B86FF6"/>
    <w:rsid w:val="00B87145"/>
    <w:rsid w:val="00B87F98"/>
    <w:rsid w:val="00B90DD6"/>
    <w:rsid w:val="00B91EFF"/>
    <w:rsid w:val="00B921C1"/>
    <w:rsid w:val="00B9279E"/>
    <w:rsid w:val="00B93F49"/>
    <w:rsid w:val="00B952DC"/>
    <w:rsid w:val="00B954E7"/>
    <w:rsid w:val="00B957EB"/>
    <w:rsid w:val="00B96B6F"/>
    <w:rsid w:val="00B97131"/>
    <w:rsid w:val="00BA037A"/>
    <w:rsid w:val="00BA04BB"/>
    <w:rsid w:val="00BA0B81"/>
    <w:rsid w:val="00BA0BDF"/>
    <w:rsid w:val="00BA12AA"/>
    <w:rsid w:val="00BA1AA7"/>
    <w:rsid w:val="00BA2613"/>
    <w:rsid w:val="00BA2906"/>
    <w:rsid w:val="00BA5532"/>
    <w:rsid w:val="00BA6109"/>
    <w:rsid w:val="00BA7EB7"/>
    <w:rsid w:val="00BB02D3"/>
    <w:rsid w:val="00BB039A"/>
    <w:rsid w:val="00BB0F2E"/>
    <w:rsid w:val="00BB1253"/>
    <w:rsid w:val="00BB180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59C2"/>
    <w:rsid w:val="00BC5F7B"/>
    <w:rsid w:val="00BC6C3F"/>
    <w:rsid w:val="00BC7B73"/>
    <w:rsid w:val="00BC7B9F"/>
    <w:rsid w:val="00BD0E4C"/>
    <w:rsid w:val="00BD104A"/>
    <w:rsid w:val="00BD1C8E"/>
    <w:rsid w:val="00BD2882"/>
    <w:rsid w:val="00BD2CCE"/>
    <w:rsid w:val="00BD31AB"/>
    <w:rsid w:val="00BD3747"/>
    <w:rsid w:val="00BD4600"/>
    <w:rsid w:val="00BD47B4"/>
    <w:rsid w:val="00BD4D30"/>
    <w:rsid w:val="00BD4D63"/>
    <w:rsid w:val="00BD6295"/>
    <w:rsid w:val="00BD62BB"/>
    <w:rsid w:val="00BD75EC"/>
    <w:rsid w:val="00BE0BCE"/>
    <w:rsid w:val="00BE3902"/>
    <w:rsid w:val="00BE5533"/>
    <w:rsid w:val="00BE615F"/>
    <w:rsid w:val="00BE63EE"/>
    <w:rsid w:val="00BE6E78"/>
    <w:rsid w:val="00BE721A"/>
    <w:rsid w:val="00BF0102"/>
    <w:rsid w:val="00BF07E9"/>
    <w:rsid w:val="00BF1CB7"/>
    <w:rsid w:val="00BF315E"/>
    <w:rsid w:val="00BF3287"/>
    <w:rsid w:val="00BF3845"/>
    <w:rsid w:val="00BF43DD"/>
    <w:rsid w:val="00BF58F0"/>
    <w:rsid w:val="00BF5D98"/>
    <w:rsid w:val="00BF742B"/>
    <w:rsid w:val="00BF7470"/>
    <w:rsid w:val="00BF75EC"/>
    <w:rsid w:val="00BF7E1A"/>
    <w:rsid w:val="00C00AA0"/>
    <w:rsid w:val="00C01B2B"/>
    <w:rsid w:val="00C01C4C"/>
    <w:rsid w:val="00C04E02"/>
    <w:rsid w:val="00C0631D"/>
    <w:rsid w:val="00C06581"/>
    <w:rsid w:val="00C07D05"/>
    <w:rsid w:val="00C104CB"/>
    <w:rsid w:val="00C10556"/>
    <w:rsid w:val="00C111FE"/>
    <w:rsid w:val="00C11608"/>
    <w:rsid w:val="00C120D2"/>
    <w:rsid w:val="00C121CA"/>
    <w:rsid w:val="00C12D34"/>
    <w:rsid w:val="00C14210"/>
    <w:rsid w:val="00C14DAF"/>
    <w:rsid w:val="00C14E4C"/>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810"/>
    <w:rsid w:val="00C30114"/>
    <w:rsid w:val="00C30133"/>
    <w:rsid w:val="00C30365"/>
    <w:rsid w:val="00C30531"/>
    <w:rsid w:val="00C311CC"/>
    <w:rsid w:val="00C32004"/>
    <w:rsid w:val="00C329C3"/>
    <w:rsid w:val="00C32EB0"/>
    <w:rsid w:val="00C332DD"/>
    <w:rsid w:val="00C336FF"/>
    <w:rsid w:val="00C33B24"/>
    <w:rsid w:val="00C347DE"/>
    <w:rsid w:val="00C34B6F"/>
    <w:rsid w:val="00C34D58"/>
    <w:rsid w:val="00C34F19"/>
    <w:rsid w:val="00C40302"/>
    <w:rsid w:val="00C41214"/>
    <w:rsid w:val="00C41223"/>
    <w:rsid w:val="00C4143C"/>
    <w:rsid w:val="00C41440"/>
    <w:rsid w:val="00C416A6"/>
    <w:rsid w:val="00C41A63"/>
    <w:rsid w:val="00C427E7"/>
    <w:rsid w:val="00C447E2"/>
    <w:rsid w:val="00C44FBB"/>
    <w:rsid w:val="00C46958"/>
    <w:rsid w:val="00C47012"/>
    <w:rsid w:val="00C47C52"/>
    <w:rsid w:val="00C510EC"/>
    <w:rsid w:val="00C52112"/>
    <w:rsid w:val="00C53A52"/>
    <w:rsid w:val="00C54841"/>
    <w:rsid w:val="00C55ACB"/>
    <w:rsid w:val="00C56767"/>
    <w:rsid w:val="00C57B46"/>
    <w:rsid w:val="00C601BE"/>
    <w:rsid w:val="00C61851"/>
    <w:rsid w:val="00C62BA5"/>
    <w:rsid w:val="00C63010"/>
    <w:rsid w:val="00C6325F"/>
    <w:rsid w:val="00C6330E"/>
    <w:rsid w:val="00C6354B"/>
    <w:rsid w:val="00C637A5"/>
    <w:rsid w:val="00C6432A"/>
    <w:rsid w:val="00C71AF5"/>
    <w:rsid w:val="00C72E52"/>
    <w:rsid w:val="00C7322F"/>
    <w:rsid w:val="00C73444"/>
    <w:rsid w:val="00C73499"/>
    <w:rsid w:val="00C73585"/>
    <w:rsid w:val="00C74339"/>
    <w:rsid w:val="00C7499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271D"/>
    <w:rsid w:val="00CB2E40"/>
    <w:rsid w:val="00CB36B9"/>
    <w:rsid w:val="00CB3FC2"/>
    <w:rsid w:val="00CB446D"/>
    <w:rsid w:val="00CB4760"/>
    <w:rsid w:val="00CB4B67"/>
    <w:rsid w:val="00CB54C0"/>
    <w:rsid w:val="00CB5AF8"/>
    <w:rsid w:val="00CB6843"/>
    <w:rsid w:val="00CB7540"/>
    <w:rsid w:val="00CB7BC7"/>
    <w:rsid w:val="00CB7F24"/>
    <w:rsid w:val="00CC05A7"/>
    <w:rsid w:val="00CC0C3C"/>
    <w:rsid w:val="00CC0FAE"/>
    <w:rsid w:val="00CC17D3"/>
    <w:rsid w:val="00CC298A"/>
    <w:rsid w:val="00CC2E50"/>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4EDC"/>
    <w:rsid w:val="00CE5C6E"/>
    <w:rsid w:val="00CE657B"/>
    <w:rsid w:val="00CE6F75"/>
    <w:rsid w:val="00CF17E9"/>
    <w:rsid w:val="00CF2396"/>
    <w:rsid w:val="00CF248A"/>
    <w:rsid w:val="00CF2EAB"/>
    <w:rsid w:val="00CF30FA"/>
    <w:rsid w:val="00CF3632"/>
    <w:rsid w:val="00CF4139"/>
    <w:rsid w:val="00CF62E5"/>
    <w:rsid w:val="00CF66BD"/>
    <w:rsid w:val="00CF7139"/>
    <w:rsid w:val="00CF7C57"/>
    <w:rsid w:val="00D00B6B"/>
    <w:rsid w:val="00D00D8E"/>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5165"/>
    <w:rsid w:val="00D153DC"/>
    <w:rsid w:val="00D15B0F"/>
    <w:rsid w:val="00D17B15"/>
    <w:rsid w:val="00D2169B"/>
    <w:rsid w:val="00D21735"/>
    <w:rsid w:val="00D22E0C"/>
    <w:rsid w:val="00D2319E"/>
    <w:rsid w:val="00D2361D"/>
    <w:rsid w:val="00D23859"/>
    <w:rsid w:val="00D23917"/>
    <w:rsid w:val="00D23BE3"/>
    <w:rsid w:val="00D2405D"/>
    <w:rsid w:val="00D2409F"/>
    <w:rsid w:val="00D24D64"/>
    <w:rsid w:val="00D25646"/>
    <w:rsid w:val="00D259AE"/>
    <w:rsid w:val="00D263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126B"/>
    <w:rsid w:val="00D41530"/>
    <w:rsid w:val="00D42A66"/>
    <w:rsid w:val="00D43881"/>
    <w:rsid w:val="00D448F1"/>
    <w:rsid w:val="00D44ABD"/>
    <w:rsid w:val="00D458EE"/>
    <w:rsid w:val="00D45AF4"/>
    <w:rsid w:val="00D45E43"/>
    <w:rsid w:val="00D45F7E"/>
    <w:rsid w:val="00D46064"/>
    <w:rsid w:val="00D466E4"/>
    <w:rsid w:val="00D467A5"/>
    <w:rsid w:val="00D474FD"/>
    <w:rsid w:val="00D47689"/>
    <w:rsid w:val="00D50783"/>
    <w:rsid w:val="00D514A3"/>
    <w:rsid w:val="00D51705"/>
    <w:rsid w:val="00D51FC9"/>
    <w:rsid w:val="00D5251A"/>
    <w:rsid w:val="00D52CBF"/>
    <w:rsid w:val="00D54982"/>
    <w:rsid w:val="00D55008"/>
    <w:rsid w:val="00D56C13"/>
    <w:rsid w:val="00D6056D"/>
    <w:rsid w:val="00D61C41"/>
    <w:rsid w:val="00D63236"/>
    <w:rsid w:val="00D6361E"/>
    <w:rsid w:val="00D639BA"/>
    <w:rsid w:val="00D648C4"/>
    <w:rsid w:val="00D6576B"/>
    <w:rsid w:val="00D659C3"/>
    <w:rsid w:val="00D668FD"/>
    <w:rsid w:val="00D66B21"/>
    <w:rsid w:val="00D66B2A"/>
    <w:rsid w:val="00D67475"/>
    <w:rsid w:val="00D7117B"/>
    <w:rsid w:val="00D71595"/>
    <w:rsid w:val="00D73828"/>
    <w:rsid w:val="00D7462C"/>
    <w:rsid w:val="00D74B96"/>
    <w:rsid w:val="00D74BD5"/>
    <w:rsid w:val="00D74EFE"/>
    <w:rsid w:val="00D759EB"/>
    <w:rsid w:val="00D75A43"/>
    <w:rsid w:val="00D75AED"/>
    <w:rsid w:val="00D7796A"/>
    <w:rsid w:val="00D77BC2"/>
    <w:rsid w:val="00D80F06"/>
    <w:rsid w:val="00D81240"/>
    <w:rsid w:val="00D8140A"/>
    <w:rsid w:val="00D81A85"/>
    <w:rsid w:val="00D82B6B"/>
    <w:rsid w:val="00D8348D"/>
    <w:rsid w:val="00D83591"/>
    <w:rsid w:val="00D842FB"/>
    <w:rsid w:val="00D844A4"/>
    <w:rsid w:val="00D850C5"/>
    <w:rsid w:val="00D853EE"/>
    <w:rsid w:val="00D85512"/>
    <w:rsid w:val="00D872B6"/>
    <w:rsid w:val="00D90FAE"/>
    <w:rsid w:val="00D91FD9"/>
    <w:rsid w:val="00D937E4"/>
    <w:rsid w:val="00D938A9"/>
    <w:rsid w:val="00D938F3"/>
    <w:rsid w:val="00D940D2"/>
    <w:rsid w:val="00D957DC"/>
    <w:rsid w:val="00D95E53"/>
    <w:rsid w:val="00D9794E"/>
    <w:rsid w:val="00D97B03"/>
    <w:rsid w:val="00DA0835"/>
    <w:rsid w:val="00DA1028"/>
    <w:rsid w:val="00DA2A68"/>
    <w:rsid w:val="00DA3E35"/>
    <w:rsid w:val="00DA50DC"/>
    <w:rsid w:val="00DA5D60"/>
    <w:rsid w:val="00DA5E06"/>
    <w:rsid w:val="00DA6824"/>
    <w:rsid w:val="00DA7182"/>
    <w:rsid w:val="00DA7539"/>
    <w:rsid w:val="00DA7E7A"/>
    <w:rsid w:val="00DB0675"/>
    <w:rsid w:val="00DB1210"/>
    <w:rsid w:val="00DB126A"/>
    <w:rsid w:val="00DB2F27"/>
    <w:rsid w:val="00DB3C4B"/>
    <w:rsid w:val="00DB4AD4"/>
    <w:rsid w:val="00DB4EE2"/>
    <w:rsid w:val="00DB567A"/>
    <w:rsid w:val="00DB6230"/>
    <w:rsid w:val="00DB64E1"/>
    <w:rsid w:val="00DB6693"/>
    <w:rsid w:val="00DB6788"/>
    <w:rsid w:val="00DB71AD"/>
    <w:rsid w:val="00DB7A9D"/>
    <w:rsid w:val="00DC01C1"/>
    <w:rsid w:val="00DC1D1F"/>
    <w:rsid w:val="00DC2FDC"/>
    <w:rsid w:val="00DC3567"/>
    <w:rsid w:val="00DC4BAE"/>
    <w:rsid w:val="00DC5287"/>
    <w:rsid w:val="00DC5B6A"/>
    <w:rsid w:val="00DC6118"/>
    <w:rsid w:val="00DC674A"/>
    <w:rsid w:val="00DC6EC2"/>
    <w:rsid w:val="00DC7127"/>
    <w:rsid w:val="00DC770D"/>
    <w:rsid w:val="00DD0171"/>
    <w:rsid w:val="00DD26C1"/>
    <w:rsid w:val="00DD27A1"/>
    <w:rsid w:val="00DD2E77"/>
    <w:rsid w:val="00DD33E9"/>
    <w:rsid w:val="00DD37F9"/>
    <w:rsid w:val="00DD4DCF"/>
    <w:rsid w:val="00DD5E68"/>
    <w:rsid w:val="00DD6779"/>
    <w:rsid w:val="00DE0D7C"/>
    <w:rsid w:val="00DE0E67"/>
    <w:rsid w:val="00DE1005"/>
    <w:rsid w:val="00DE12F0"/>
    <w:rsid w:val="00DE17B7"/>
    <w:rsid w:val="00DE1D9A"/>
    <w:rsid w:val="00DE1E88"/>
    <w:rsid w:val="00DE2734"/>
    <w:rsid w:val="00DE2B90"/>
    <w:rsid w:val="00DE2D55"/>
    <w:rsid w:val="00DE33CD"/>
    <w:rsid w:val="00DE5F29"/>
    <w:rsid w:val="00DE6A73"/>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82B"/>
    <w:rsid w:val="00E0488B"/>
    <w:rsid w:val="00E04C88"/>
    <w:rsid w:val="00E04F6B"/>
    <w:rsid w:val="00E050D9"/>
    <w:rsid w:val="00E050F1"/>
    <w:rsid w:val="00E0729B"/>
    <w:rsid w:val="00E10EA3"/>
    <w:rsid w:val="00E116C2"/>
    <w:rsid w:val="00E11EAD"/>
    <w:rsid w:val="00E1278C"/>
    <w:rsid w:val="00E12899"/>
    <w:rsid w:val="00E12F80"/>
    <w:rsid w:val="00E133F7"/>
    <w:rsid w:val="00E13F7F"/>
    <w:rsid w:val="00E14581"/>
    <w:rsid w:val="00E1465A"/>
    <w:rsid w:val="00E15513"/>
    <w:rsid w:val="00E15CA5"/>
    <w:rsid w:val="00E21475"/>
    <w:rsid w:val="00E21DE9"/>
    <w:rsid w:val="00E23637"/>
    <w:rsid w:val="00E2397D"/>
    <w:rsid w:val="00E23B59"/>
    <w:rsid w:val="00E23B9B"/>
    <w:rsid w:val="00E23E33"/>
    <w:rsid w:val="00E24F9E"/>
    <w:rsid w:val="00E25282"/>
    <w:rsid w:val="00E26C98"/>
    <w:rsid w:val="00E270C3"/>
    <w:rsid w:val="00E277CE"/>
    <w:rsid w:val="00E2785E"/>
    <w:rsid w:val="00E3120A"/>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F92"/>
    <w:rsid w:val="00E41096"/>
    <w:rsid w:val="00E4129A"/>
    <w:rsid w:val="00E42070"/>
    <w:rsid w:val="00E433C9"/>
    <w:rsid w:val="00E448C5"/>
    <w:rsid w:val="00E4541D"/>
    <w:rsid w:val="00E4675A"/>
    <w:rsid w:val="00E46D1F"/>
    <w:rsid w:val="00E473D5"/>
    <w:rsid w:val="00E50144"/>
    <w:rsid w:val="00E5092D"/>
    <w:rsid w:val="00E50F17"/>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254B"/>
    <w:rsid w:val="00E62C4D"/>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747"/>
    <w:rsid w:val="00E77050"/>
    <w:rsid w:val="00E77690"/>
    <w:rsid w:val="00E77ED5"/>
    <w:rsid w:val="00E81D9E"/>
    <w:rsid w:val="00E849A5"/>
    <w:rsid w:val="00E84CC6"/>
    <w:rsid w:val="00E85291"/>
    <w:rsid w:val="00E8561E"/>
    <w:rsid w:val="00E87055"/>
    <w:rsid w:val="00E9035E"/>
    <w:rsid w:val="00E9061B"/>
    <w:rsid w:val="00E91096"/>
    <w:rsid w:val="00E91BF8"/>
    <w:rsid w:val="00E91D06"/>
    <w:rsid w:val="00E925F8"/>
    <w:rsid w:val="00E929AB"/>
    <w:rsid w:val="00E93843"/>
    <w:rsid w:val="00E94826"/>
    <w:rsid w:val="00E95142"/>
    <w:rsid w:val="00E9563D"/>
    <w:rsid w:val="00E961FA"/>
    <w:rsid w:val="00EA292F"/>
    <w:rsid w:val="00EA3451"/>
    <w:rsid w:val="00EA477E"/>
    <w:rsid w:val="00EA50A9"/>
    <w:rsid w:val="00EA693B"/>
    <w:rsid w:val="00EA6E4B"/>
    <w:rsid w:val="00EA7EA1"/>
    <w:rsid w:val="00EB047E"/>
    <w:rsid w:val="00EB07F2"/>
    <w:rsid w:val="00EB1BDE"/>
    <w:rsid w:val="00EB1DB5"/>
    <w:rsid w:val="00EB1E39"/>
    <w:rsid w:val="00EB213F"/>
    <w:rsid w:val="00EB23A1"/>
    <w:rsid w:val="00EB269A"/>
    <w:rsid w:val="00EB35B6"/>
    <w:rsid w:val="00EB37BA"/>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6988"/>
    <w:rsid w:val="00EC779F"/>
    <w:rsid w:val="00EC7834"/>
    <w:rsid w:val="00EC7A2A"/>
    <w:rsid w:val="00EC7B5F"/>
    <w:rsid w:val="00EC7CBA"/>
    <w:rsid w:val="00EC7DB7"/>
    <w:rsid w:val="00ED1082"/>
    <w:rsid w:val="00ED1DFB"/>
    <w:rsid w:val="00ED2207"/>
    <w:rsid w:val="00ED24E9"/>
    <w:rsid w:val="00ED297C"/>
    <w:rsid w:val="00ED2AF1"/>
    <w:rsid w:val="00ED41B1"/>
    <w:rsid w:val="00ED7664"/>
    <w:rsid w:val="00ED7E6D"/>
    <w:rsid w:val="00EE000F"/>
    <w:rsid w:val="00EE0234"/>
    <w:rsid w:val="00EE06C3"/>
    <w:rsid w:val="00EE1307"/>
    <w:rsid w:val="00EE277C"/>
    <w:rsid w:val="00EE3C44"/>
    <w:rsid w:val="00EE3CD9"/>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7BEB"/>
    <w:rsid w:val="00F1082D"/>
    <w:rsid w:val="00F13203"/>
    <w:rsid w:val="00F136F0"/>
    <w:rsid w:val="00F149D2"/>
    <w:rsid w:val="00F158C3"/>
    <w:rsid w:val="00F166B4"/>
    <w:rsid w:val="00F20527"/>
    <w:rsid w:val="00F20B0F"/>
    <w:rsid w:val="00F210C3"/>
    <w:rsid w:val="00F2191E"/>
    <w:rsid w:val="00F2280F"/>
    <w:rsid w:val="00F2318D"/>
    <w:rsid w:val="00F23AD8"/>
    <w:rsid w:val="00F26245"/>
    <w:rsid w:val="00F264AE"/>
    <w:rsid w:val="00F2721D"/>
    <w:rsid w:val="00F30122"/>
    <w:rsid w:val="00F31266"/>
    <w:rsid w:val="00F3274E"/>
    <w:rsid w:val="00F32F00"/>
    <w:rsid w:val="00F33CB4"/>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5964"/>
    <w:rsid w:val="00F464F8"/>
    <w:rsid w:val="00F4689E"/>
    <w:rsid w:val="00F47D26"/>
    <w:rsid w:val="00F51053"/>
    <w:rsid w:val="00F51D35"/>
    <w:rsid w:val="00F52705"/>
    <w:rsid w:val="00F5560B"/>
    <w:rsid w:val="00F55E86"/>
    <w:rsid w:val="00F562BE"/>
    <w:rsid w:val="00F56A47"/>
    <w:rsid w:val="00F5716A"/>
    <w:rsid w:val="00F600E3"/>
    <w:rsid w:val="00F60823"/>
    <w:rsid w:val="00F609BE"/>
    <w:rsid w:val="00F626DD"/>
    <w:rsid w:val="00F62903"/>
    <w:rsid w:val="00F6350D"/>
    <w:rsid w:val="00F6494B"/>
    <w:rsid w:val="00F66394"/>
    <w:rsid w:val="00F7032F"/>
    <w:rsid w:val="00F70C7A"/>
    <w:rsid w:val="00F70E97"/>
    <w:rsid w:val="00F729E8"/>
    <w:rsid w:val="00F72A29"/>
    <w:rsid w:val="00F733AC"/>
    <w:rsid w:val="00F73D70"/>
    <w:rsid w:val="00F74DF1"/>
    <w:rsid w:val="00F7506E"/>
    <w:rsid w:val="00F75231"/>
    <w:rsid w:val="00F772B7"/>
    <w:rsid w:val="00F7772B"/>
    <w:rsid w:val="00F77C1B"/>
    <w:rsid w:val="00F80438"/>
    <w:rsid w:val="00F80CFB"/>
    <w:rsid w:val="00F81707"/>
    <w:rsid w:val="00F82113"/>
    <w:rsid w:val="00F838C0"/>
    <w:rsid w:val="00F8578C"/>
    <w:rsid w:val="00F85BCF"/>
    <w:rsid w:val="00F85DD7"/>
    <w:rsid w:val="00F86FEE"/>
    <w:rsid w:val="00F87087"/>
    <w:rsid w:val="00F90385"/>
    <w:rsid w:val="00F90F23"/>
    <w:rsid w:val="00F913A4"/>
    <w:rsid w:val="00F91FD5"/>
    <w:rsid w:val="00F94F9F"/>
    <w:rsid w:val="00F95646"/>
    <w:rsid w:val="00F95FD0"/>
    <w:rsid w:val="00F97E41"/>
    <w:rsid w:val="00FA0111"/>
    <w:rsid w:val="00FA048E"/>
    <w:rsid w:val="00FA3DF5"/>
    <w:rsid w:val="00FA45F2"/>
    <w:rsid w:val="00FA4764"/>
    <w:rsid w:val="00FA4B4E"/>
    <w:rsid w:val="00FA595A"/>
    <w:rsid w:val="00FA5B43"/>
    <w:rsid w:val="00FA65FC"/>
    <w:rsid w:val="00FA6D19"/>
    <w:rsid w:val="00FA6D50"/>
    <w:rsid w:val="00FA7B79"/>
    <w:rsid w:val="00FB01F9"/>
    <w:rsid w:val="00FB1730"/>
    <w:rsid w:val="00FB2068"/>
    <w:rsid w:val="00FB2B47"/>
    <w:rsid w:val="00FB50F5"/>
    <w:rsid w:val="00FB543A"/>
    <w:rsid w:val="00FB6730"/>
    <w:rsid w:val="00FB6A6D"/>
    <w:rsid w:val="00FB6ED6"/>
    <w:rsid w:val="00FB7218"/>
    <w:rsid w:val="00FC0FB3"/>
    <w:rsid w:val="00FC10C6"/>
    <w:rsid w:val="00FC11E9"/>
    <w:rsid w:val="00FC38A8"/>
    <w:rsid w:val="00FC489B"/>
    <w:rsid w:val="00FC59EC"/>
    <w:rsid w:val="00FC6398"/>
    <w:rsid w:val="00FC6B6C"/>
    <w:rsid w:val="00FC6CD2"/>
    <w:rsid w:val="00FC77A2"/>
    <w:rsid w:val="00FC7984"/>
    <w:rsid w:val="00FD0598"/>
    <w:rsid w:val="00FD0813"/>
    <w:rsid w:val="00FD0F5F"/>
    <w:rsid w:val="00FD27B4"/>
    <w:rsid w:val="00FD427A"/>
    <w:rsid w:val="00FD6CA9"/>
    <w:rsid w:val="00FD774D"/>
    <w:rsid w:val="00FE0A5E"/>
    <w:rsid w:val="00FE4A63"/>
    <w:rsid w:val="00FE4D32"/>
    <w:rsid w:val="00FE5CCF"/>
    <w:rsid w:val="00FE601F"/>
    <w:rsid w:val="00FE61A3"/>
    <w:rsid w:val="00FE6B9B"/>
    <w:rsid w:val="00FE79F4"/>
    <w:rsid w:val="00FF0133"/>
    <w:rsid w:val="00FF0A55"/>
    <w:rsid w:val="00FF2212"/>
    <w:rsid w:val="00FF352E"/>
    <w:rsid w:val="00FF3E5C"/>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29</Pages>
  <Words>50248</Words>
  <Characters>286417</Characters>
  <Application>Microsoft Office Word</Application>
  <DocSecurity>0</DocSecurity>
  <Lines>2386</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3149</cp:revision>
  <dcterms:created xsi:type="dcterms:W3CDTF">2021-11-15T16:25:00Z</dcterms:created>
  <dcterms:modified xsi:type="dcterms:W3CDTF">2021-11-17T05:17:00Z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