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0.png" ContentType="image/png"/>
  <Override PartName="/word/media/rId44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4.png" ContentType="image/png"/>
  <Override PartName="/word/media/rId68.png" ContentType="image/png"/>
  <Override PartName="/word/media/rId72.png" ContentType="image/png"/>
  <Override PartName="/word/media/rId76.png" ContentType="image/png"/>
  <Override PartName="/word/media/rId81.png" ContentType="image/png"/>
  <Override PartName="/word/media/rId85.png" ContentType="image/png"/>
  <Override PartName="/word/media/rId89.png" ContentType="image/png"/>
  <Override PartName="/word/media/rId93.png" ContentType="image/png"/>
  <Override PartName="/word/media/rId97.png" ContentType="image/png"/>
  <Override PartName="/word/media/rId101.png" ContentType="image/png"/>
  <Override PartName="/word/media/rId105.png" ContentType="image/png"/>
  <Override PartName="/word/media/rId109.png" ContentType="image/png"/>
  <Override PartName="/word/media/rId117.png" ContentType="image/png"/>
  <Override PartName="/word/media/rId121.png" ContentType="image/png"/>
  <Override PartName="/word/media/rId143.png" ContentType="image/png"/>
  <Override PartName="/word/media/rId146.png" ContentType="image/png"/>
  <Override PartName="/word/media/rId152.png" ContentType="image/png"/>
  <Override PartName="/word/media/rId155.png" ContentType="image/png"/>
  <Override PartName="/word/media/rId158.png" ContentType="image/png"/>
  <Override PartName="/word/media/rId161.png" ContentType="image/png"/>
  <Override PartName="/word/media/rId164.png" ContentType="image/png"/>
  <Override PartName="/word/media/rId167.png" ContentType="image/png"/>
  <Override PartName="/word/media/rId171.png" ContentType="image/png"/>
  <Override PartName="/word/media/rId176.png" ContentType="image/png"/>
  <Override PartName="/word/media/rId18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terra-audit"/>
    <w:p>
      <w:pPr>
        <w:pStyle w:val="Heading1"/>
      </w:pPr>
      <w:r>
        <w:t xml:space="preserve">TERRA-AUDIT</w:t>
      </w:r>
    </w:p>
    <w:bookmarkStart w:id="21" w:name="X312ec1af3fcc25a5bdeffcb64bc126e24cb27c9"/>
    <w:p>
      <w:pPr>
        <w:pStyle w:val="Heading2"/>
      </w:pPr>
      <w:r>
        <w:t xml:space="preserve">AI-ASSISTED DIGITAL MRV PLATFORM FOR AWD RICE IRRIGATION CARBON CREDITS</w:t>
      </w:r>
    </w:p>
    <w:bookmarkStart w:id="20" w:name="Xbd88c41e5f690e4a3732f917301eb9ccbcdb168"/>
    <w:p>
      <w:pPr>
        <w:pStyle w:val="Heading3"/>
      </w:pPr>
      <w:r>
        <w:t xml:space="preserve">SOFTWARE REQUIREMENTS SPECIFICATION &amp; ANALYSIS</w:t>
      </w:r>
    </w:p>
    <w:p>
      <w:pPr>
        <w:pStyle w:val="FirstParagraph"/>
      </w:pPr>
    </w:p>
    <w:p>
      <w:pPr>
        <w:pStyle w:val="BodyText"/>
      </w:pPr>
      <w:r>
        <w:rPr>
          <w:bCs/>
          <w:b/>
        </w:rPr>
        <w:t xml:space="preserve">Submitted By:</w:t>
      </w:r>
      <w:r>
        <w:br/>
      </w:r>
      <w:r>
        <w:t xml:space="preserve">Kazi Nahid | BSSE-1437</w:t>
      </w:r>
      <w:r>
        <w:br/>
      </w:r>
      <w:r>
        <w:t xml:space="preserve">Md. Jariful Rahman | BSSE-1419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Submitted To:</w:t>
      </w:r>
      <w:r>
        <w:br/>
      </w:r>
      <w:r>
        <w:t xml:space="preserve">Dr. Mohammed Shafiul Alam Khan</w:t>
      </w:r>
      <w:r>
        <w:br/>
      </w:r>
      <w:r>
        <w:t xml:space="preserve">Professor</w:t>
      </w:r>
      <w:r>
        <w:br/>
      </w:r>
      <w:r>
        <w:t xml:space="preserve">Institute of Information Technology</w:t>
      </w:r>
      <w:r>
        <w:br/>
      </w:r>
      <w:r>
        <w:t xml:space="preserve">University of Dhaka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Supervisor’s Signature:</w:t>
      </w:r>
      <w:r>
        <w:t xml:space="preserve"> </w:t>
      </w:r>
      <w:r>
        <w:t xml:space="preserve">________________________</w:t>
      </w:r>
    </w:p>
    <w:p>
      <w:pPr>
        <w:pStyle w:val="BodyText"/>
      </w:pPr>
    </w:p>
    <w:p>
      <w:pPr>
        <w:pStyle w:val="BodyText"/>
      </w:pPr>
      <w:r>
        <w:rPr>
          <w:bCs/>
          <w:b/>
        </w:rPr>
        <w:t xml:space="preserve">IIT — University of Dhaka</w:t>
      </w:r>
    </w:p>
    <w:bookmarkEnd w:id="20"/>
    <w:bookmarkEnd w:id="21"/>
    <w:bookmarkEnd w:id="22"/>
    <w:p>
      <w:r>
        <w:pict>
          <v:rect style="width:0;height:1.5pt" o:hralign="center" o:hrstd="t" o:hr="t"/>
        </w:pict>
      </w:r>
    </w:p>
    <w:bookmarkStart w:id="23" w:name="table-of-contents"/>
    <w:p>
      <w:pPr>
        <w:pStyle w:val="Heading1"/>
      </w:pPr>
      <w:r>
        <w:t xml:space="preserve">Table of Contents</w:t>
      </w:r>
    </w:p>
    <w:p>
      <w:pPr>
        <w:numPr>
          <w:ilvl w:val="0"/>
          <w:numId w:val="1001"/>
        </w:numPr>
        <w:pStyle w:val="Compact"/>
      </w:pPr>
      <w:hyperlink w:anchor="Xe3d0fc0bea9a42ce7605565d0964033d7f6ee47">
        <w:r>
          <w:rPr>
            <w:rStyle w:val="Hyperlink"/>
          </w:rPr>
          <w:t xml:space="preserve">1. Introduction</w:t>
        </w:r>
      </w:hyperlink>
    </w:p>
    <w:p>
      <w:pPr>
        <w:numPr>
          <w:ilvl w:val="1"/>
          <w:numId w:val="1002"/>
        </w:numPr>
        <w:pStyle w:val="Compact"/>
      </w:pPr>
      <w:r>
        <w:t xml:space="preserve">1.1 Purpose</w:t>
      </w:r>
    </w:p>
    <w:p>
      <w:pPr>
        <w:numPr>
          <w:ilvl w:val="1"/>
          <w:numId w:val="1002"/>
        </w:numPr>
        <w:pStyle w:val="Compact"/>
      </w:pPr>
      <w:r>
        <w:t xml:space="preserve">1.2 Intended Audience</w:t>
      </w:r>
    </w:p>
    <w:p>
      <w:pPr>
        <w:numPr>
          <w:ilvl w:val="1"/>
          <w:numId w:val="1002"/>
        </w:numPr>
        <w:pStyle w:val="Compact"/>
      </w:pPr>
      <w:r>
        <w:t xml:space="preserve">1.3 Usage Scenarios</w:t>
      </w:r>
    </w:p>
    <w:p>
      <w:pPr>
        <w:numPr>
          <w:ilvl w:val="1"/>
          <w:numId w:val="1002"/>
        </w:numPr>
        <w:pStyle w:val="Compact"/>
      </w:pPr>
      <w:r>
        <w:t xml:space="preserve">1.4 Conclusion</w:t>
      </w:r>
    </w:p>
    <w:p>
      <w:pPr>
        <w:numPr>
          <w:ilvl w:val="0"/>
          <w:numId w:val="1001"/>
        </w:numPr>
        <w:pStyle w:val="Compact"/>
      </w:pPr>
      <w:hyperlink w:anchor="X8f028c5ae9bf209ebc2ede62e0112862d7dd0f1">
        <w:r>
          <w:rPr>
            <w:rStyle w:val="Hyperlink"/>
          </w:rPr>
          <w:t xml:space="preserve">2. Inception</w:t>
        </w:r>
      </w:hyperlink>
    </w:p>
    <w:p>
      <w:pPr>
        <w:numPr>
          <w:ilvl w:val="1"/>
          <w:numId w:val="1003"/>
        </w:numPr>
        <w:pStyle w:val="Compact"/>
      </w:pPr>
      <w:r>
        <w:t xml:space="preserve">2.1 Understanding the Problem</w:t>
      </w:r>
    </w:p>
    <w:p>
      <w:pPr>
        <w:numPr>
          <w:ilvl w:val="1"/>
          <w:numId w:val="1003"/>
        </w:numPr>
        <w:pStyle w:val="Compact"/>
      </w:pPr>
      <w:r>
        <w:t xml:space="preserve">2.2 Icebreaking</w:t>
      </w:r>
    </w:p>
    <w:p>
      <w:pPr>
        <w:numPr>
          <w:ilvl w:val="1"/>
          <w:numId w:val="1003"/>
        </w:numPr>
        <w:pStyle w:val="Compact"/>
      </w:pPr>
      <w:r>
        <w:t xml:space="preserve">2.3 Identifying the Stakeholders</w:t>
      </w:r>
    </w:p>
    <w:p>
      <w:pPr>
        <w:numPr>
          <w:ilvl w:val="1"/>
          <w:numId w:val="1003"/>
        </w:numPr>
        <w:pStyle w:val="Compact"/>
      </w:pPr>
      <w:r>
        <w:t xml:space="preserve">2.4 Stakeholder Viewpoints</w:t>
      </w:r>
    </w:p>
    <w:p>
      <w:pPr>
        <w:numPr>
          <w:ilvl w:val="1"/>
          <w:numId w:val="1003"/>
        </w:numPr>
        <w:pStyle w:val="Compact"/>
      </w:pPr>
      <w:r>
        <w:t xml:space="preserve">2.5 Working Towards Collaboration</w:t>
      </w:r>
    </w:p>
    <w:p>
      <w:pPr>
        <w:numPr>
          <w:ilvl w:val="1"/>
          <w:numId w:val="1003"/>
        </w:numPr>
        <w:pStyle w:val="Compact"/>
      </w:pPr>
      <w:r>
        <w:t xml:space="preserve">2.6 Elicitation of Terra-Audit</w:t>
      </w:r>
    </w:p>
    <w:p>
      <w:pPr>
        <w:numPr>
          <w:ilvl w:val="0"/>
          <w:numId w:val="1001"/>
        </w:numPr>
        <w:pStyle w:val="Compact"/>
      </w:pPr>
      <w:hyperlink w:anchor="X029212be082c095cb874261165190201c22db63">
        <w:r>
          <w:rPr>
            <w:rStyle w:val="Hyperlink"/>
          </w:rPr>
          <w:t xml:space="preserve">3. Quality Function Deployment</w:t>
        </w:r>
      </w:hyperlink>
    </w:p>
    <w:p>
      <w:pPr>
        <w:numPr>
          <w:ilvl w:val="1"/>
          <w:numId w:val="1004"/>
        </w:numPr>
        <w:pStyle w:val="Compact"/>
      </w:pPr>
      <w:r>
        <w:t xml:space="preserve">3.1 Normal Requirements</w:t>
      </w:r>
    </w:p>
    <w:p>
      <w:pPr>
        <w:numPr>
          <w:ilvl w:val="1"/>
          <w:numId w:val="1004"/>
        </w:numPr>
        <w:pStyle w:val="Compact"/>
      </w:pPr>
      <w:r>
        <w:t xml:space="preserve">3.2 Exciting Requirements</w:t>
      </w:r>
    </w:p>
    <w:p>
      <w:pPr>
        <w:numPr>
          <w:ilvl w:val="0"/>
          <w:numId w:val="1001"/>
        </w:numPr>
        <w:pStyle w:val="Compact"/>
      </w:pPr>
      <w:hyperlink w:anchor="Xec0a1d36cd299d57543998af96179357d6dda51">
        <w:r>
          <w:rPr>
            <w:rStyle w:val="Hyperlink"/>
          </w:rPr>
          <w:t xml:space="preserve">4. User Story</w:t>
        </w:r>
      </w:hyperlink>
    </w:p>
    <w:p>
      <w:pPr>
        <w:numPr>
          <w:ilvl w:val="0"/>
          <w:numId w:val="1001"/>
        </w:numPr>
        <w:pStyle w:val="Compact"/>
      </w:pPr>
      <w:hyperlink w:anchor="Xe1d4586d9ac9f301ee9bf76106928d21fc21b80">
        <w:r>
          <w:rPr>
            <w:rStyle w:val="Hyperlink"/>
          </w:rPr>
          <w:t xml:space="preserve">5. Scenario Based Modeling</w:t>
        </w:r>
      </w:hyperlink>
    </w:p>
    <w:p>
      <w:pPr>
        <w:numPr>
          <w:ilvl w:val="1"/>
          <w:numId w:val="1005"/>
        </w:numPr>
        <w:pStyle w:val="Compact"/>
      </w:pPr>
      <w:r>
        <w:t xml:space="preserve">5.1 Use Case Diagram (Level 0, 1, 1.1, 1.1.1, 1.1.2, 1.2 – 1.6)</w:t>
      </w:r>
    </w:p>
    <w:p>
      <w:pPr>
        <w:numPr>
          <w:ilvl w:val="1"/>
          <w:numId w:val="1005"/>
        </w:numPr>
        <w:pStyle w:val="Compact"/>
      </w:pPr>
      <w:r>
        <w:t xml:space="preserve">5.2 Activity Diagram (Level 1, 1.1, 1.1.1, 1.2 – 1.6)</w:t>
      </w:r>
    </w:p>
    <w:p>
      <w:pPr>
        <w:numPr>
          <w:ilvl w:val="0"/>
          <w:numId w:val="1001"/>
        </w:numPr>
        <w:pStyle w:val="Compact"/>
      </w:pPr>
      <w:hyperlink w:anchor="X852857bf51af1716bdf66249a9c4a749d34c906">
        <w:r>
          <w:rPr>
            <w:rStyle w:val="Hyperlink"/>
          </w:rPr>
          <w:t xml:space="preserve">6. Data Based Modeling</w:t>
        </w:r>
      </w:hyperlink>
    </w:p>
    <w:p>
      <w:pPr>
        <w:numPr>
          <w:ilvl w:val="1"/>
          <w:numId w:val="1006"/>
        </w:numPr>
        <w:pStyle w:val="Compact"/>
      </w:pPr>
      <w:r>
        <w:t xml:space="preserve">6.1 Noun Identification</w:t>
      </w:r>
    </w:p>
    <w:p>
      <w:pPr>
        <w:numPr>
          <w:ilvl w:val="1"/>
          <w:numId w:val="1006"/>
        </w:numPr>
        <w:pStyle w:val="Compact"/>
      </w:pPr>
      <w:r>
        <w:t xml:space="preserve">6.2 Final Data Objects</w:t>
      </w:r>
    </w:p>
    <w:p>
      <w:pPr>
        <w:numPr>
          <w:ilvl w:val="1"/>
          <w:numId w:val="1006"/>
        </w:numPr>
        <w:pStyle w:val="Compact"/>
      </w:pPr>
      <w:r>
        <w:t xml:space="preserve">6.3 Relations</w:t>
      </w:r>
    </w:p>
    <w:p>
      <w:pPr>
        <w:numPr>
          <w:ilvl w:val="1"/>
          <w:numId w:val="1006"/>
        </w:numPr>
        <w:pStyle w:val="Compact"/>
      </w:pPr>
      <w:r>
        <w:t xml:space="preserve">6.4 ER Diagram</w:t>
      </w:r>
    </w:p>
    <w:p>
      <w:pPr>
        <w:numPr>
          <w:ilvl w:val="1"/>
          <w:numId w:val="1006"/>
        </w:numPr>
        <w:pStyle w:val="Compact"/>
      </w:pPr>
      <w:r>
        <w:t xml:space="preserve">6.5 Schema Diagram</w:t>
      </w:r>
    </w:p>
    <w:p>
      <w:pPr>
        <w:numPr>
          <w:ilvl w:val="0"/>
          <w:numId w:val="1001"/>
        </w:numPr>
        <w:pStyle w:val="Compact"/>
      </w:pPr>
      <w:hyperlink w:anchor="Xac2574c491fd0009c350342d9af5fd1db67d146">
        <w:r>
          <w:rPr>
            <w:rStyle w:val="Hyperlink"/>
          </w:rPr>
          <w:t xml:space="preserve">7. Class Based Diagram</w:t>
        </w:r>
      </w:hyperlink>
    </w:p>
    <w:p>
      <w:pPr>
        <w:numPr>
          <w:ilvl w:val="1"/>
          <w:numId w:val="1007"/>
        </w:numPr>
        <w:pStyle w:val="Compact"/>
      </w:pPr>
      <w:r>
        <w:t xml:space="preserve">7.1 Identified Nouns</w:t>
      </w:r>
    </w:p>
    <w:p>
      <w:pPr>
        <w:numPr>
          <w:ilvl w:val="1"/>
          <w:numId w:val="1007"/>
        </w:numPr>
        <w:pStyle w:val="Compact"/>
      </w:pPr>
      <w:r>
        <w:t xml:space="preserve">7.2 Identified Verbs</w:t>
      </w:r>
    </w:p>
    <w:p>
      <w:pPr>
        <w:numPr>
          <w:ilvl w:val="1"/>
          <w:numId w:val="1007"/>
        </w:numPr>
        <w:pStyle w:val="Compact"/>
      </w:pPr>
      <w:r>
        <w:t xml:space="preserve">7.3 General Classification</w:t>
      </w:r>
    </w:p>
    <w:p>
      <w:pPr>
        <w:numPr>
          <w:ilvl w:val="1"/>
          <w:numId w:val="1007"/>
        </w:numPr>
        <w:pStyle w:val="Compact"/>
      </w:pPr>
      <w:r>
        <w:t xml:space="preserve">7.4 Selection Criteria</w:t>
      </w:r>
    </w:p>
    <w:p>
      <w:pPr>
        <w:numPr>
          <w:ilvl w:val="1"/>
          <w:numId w:val="1007"/>
        </w:numPr>
        <w:pStyle w:val="Compact"/>
      </w:pPr>
      <w:r>
        <w:t xml:space="preserve">7.5 Class Card</w:t>
      </w:r>
    </w:p>
    <w:p>
      <w:pPr>
        <w:numPr>
          <w:ilvl w:val="1"/>
          <w:numId w:val="1007"/>
        </w:numPr>
        <w:pStyle w:val="Compact"/>
      </w:pPr>
      <w:r>
        <w:t xml:space="preserve">7.8 CRC Diagram</w:t>
      </w:r>
    </w:p>
    <w:p>
      <w:pPr>
        <w:numPr>
          <w:ilvl w:val="0"/>
          <w:numId w:val="1001"/>
        </w:numPr>
        <w:pStyle w:val="Compact"/>
      </w:pPr>
      <w:hyperlink w:anchor="Xa28da7faf10f6fe7a0645ba4972f4671051e110">
        <w:r>
          <w:rPr>
            <w:rStyle w:val="Hyperlink"/>
          </w:rPr>
          <w:t xml:space="preserve">8. Behavioral Diagram</w:t>
        </w:r>
      </w:hyperlink>
    </w:p>
    <w:p>
      <w:pPr>
        <w:numPr>
          <w:ilvl w:val="1"/>
          <w:numId w:val="1008"/>
        </w:numPr>
        <w:pStyle w:val="Compact"/>
      </w:pPr>
      <w:r>
        <w:t xml:space="preserve">8.1 Event Table</w:t>
      </w:r>
    </w:p>
    <w:p>
      <w:pPr>
        <w:numPr>
          <w:ilvl w:val="1"/>
          <w:numId w:val="1008"/>
        </w:numPr>
        <w:pStyle w:val="Compact"/>
      </w:pPr>
      <w:r>
        <w:t xml:space="preserve">8.2 State Transition Diagram</w:t>
      </w:r>
    </w:p>
    <w:p>
      <w:pPr>
        <w:numPr>
          <w:ilvl w:val="1"/>
          <w:numId w:val="1008"/>
        </w:numPr>
        <w:pStyle w:val="Compact"/>
      </w:pPr>
      <w:r>
        <w:t xml:space="preserve">8.3 Sequence Diagram</w:t>
      </w:r>
    </w:p>
    <w:p>
      <w:pPr>
        <w:numPr>
          <w:ilvl w:val="0"/>
          <w:numId w:val="1001"/>
        </w:numPr>
        <w:pStyle w:val="Compact"/>
      </w:pPr>
      <w:hyperlink w:anchor="X8a8fa38cf6700f88c819d606acefb023f487bfd">
        <w:r>
          <w:rPr>
            <w:rStyle w:val="Hyperlink"/>
          </w:rPr>
          <w:t xml:space="preserve">9. Data Flow Diagram</w:t>
        </w:r>
      </w:hyperlink>
    </w:p>
    <w:p>
      <w:pPr>
        <w:numPr>
          <w:ilvl w:val="1"/>
          <w:numId w:val="1009"/>
        </w:numPr>
        <w:pStyle w:val="Compact"/>
      </w:pPr>
      <w:r>
        <w:t xml:space="preserve">9.1 Level 0: Terra-Audit</w:t>
      </w:r>
    </w:p>
    <w:p>
      <w:pPr>
        <w:numPr>
          <w:ilvl w:val="1"/>
          <w:numId w:val="1009"/>
        </w:numPr>
        <w:pStyle w:val="Compact"/>
      </w:pPr>
      <w:r>
        <w:t xml:space="preserve">9.2 Level 1: Terra-Audit</w:t>
      </w:r>
    </w:p>
    <w:p>
      <w:pPr>
        <w:numPr>
          <w:ilvl w:val="0"/>
          <w:numId w:val="1001"/>
        </w:numPr>
        <w:pStyle w:val="Compact"/>
      </w:pPr>
      <w:hyperlink w:anchor="X3b4c3db7819ed66f453f0c9b146c43e80460b49">
        <w:r>
          <w:rPr>
            <w:rStyle w:val="Hyperlink"/>
          </w:rPr>
          <w:t xml:space="preserve">10. References</w:t>
        </w:r>
      </w:hyperlink>
    </w:p>
    <w:p>
      <w:r>
        <w:pict>
          <v:rect style="width:0;height:1.5pt" o:hralign="center" o:hrstd="t" o:hr="t"/>
        </w:pict>
      </w:r>
    </w:p>
    <w:bookmarkEnd w:id="23"/>
    <w:bookmarkStart w:id="28" w:name="introduction"/>
    <w:p>
      <w:pPr>
        <w:pStyle w:val="Heading1"/>
      </w:pPr>
      <w:r>
        <w:t xml:space="preserve">1. Introduction</w:t>
      </w:r>
    </w:p>
    <w:p>
      <w:pPr>
        <w:pStyle w:val="FirstParagraph"/>
      </w:pPr>
      <w:r>
        <w:t xml:space="preserve">Terra-Audit is envisioned as a low-cost, satellite-only digital MRV</w:t>
      </w:r>
      <w:r>
        <w:t xml:space="preserve"> </w:t>
      </w:r>
      <w:r>
        <w:t xml:space="preserve">(Measurement, Reporting and Verification) platform for rice-cultivation</w:t>
      </w:r>
      <w:r>
        <w:t xml:space="preserve"> </w:t>
      </w:r>
      <w:r>
        <w:t xml:space="preserve">carbon projects. Alternate Wetting and Drying (AWD) irrigation reduces</w:t>
      </w:r>
      <w:r>
        <w:t xml:space="preserve"> </w:t>
      </w:r>
      <w:r>
        <w:t xml:space="preserve">methane emissions from rice paddies, but proving that a farmer actually</w:t>
      </w:r>
      <w:r>
        <w:t xml:space="preserve"> </w:t>
      </w:r>
      <w:r>
        <w:t xml:space="preserve">practiced AWD has traditionally required manual logs or expensive</w:t>
      </w:r>
      <w:r>
        <w:t xml:space="preserve"> </w:t>
      </w:r>
      <w:r>
        <w:t xml:space="preserve">water-level sensors. Terra-Audit replaces those with Sentinel-1 SAR</w:t>
      </w:r>
      <w:r>
        <w:t xml:space="preserve"> </w:t>
      </w:r>
      <w:r>
        <w:t xml:space="preserve">satellite observations pulled from Google Earth Engine, detects AWD</w:t>
      </w:r>
      <w:r>
        <w:t xml:space="preserve"> </w:t>
      </w:r>
      <w:r>
        <w:t xml:space="preserve">drydown events in the radar signal, converts the observed behavior into</w:t>
      </w:r>
      <w:r>
        <w:t xml:space="preserve"> </w:t>
      </w:r>
      <w:r>
        <w:t xml:space="preserve">carbon credit estimates under the Verra VM0051 Tier 2 (QA3) methodology,</w:t>
      </w:r>
      <w:r>
        <w:t xml:space="preserve"> </w:t>
      </w:r>
      <w:r>
        <w:t xml:space="preserve">and packages the entire calculation into auditor-ready evidence files.</w:t>
      </w:r>
    </w:p>
    <w:bookmarkStart w:id="24" w:name="purpose"/>
    <w:p>
      <w:pPr>
        <w:pStyle w:val="Heading2"/>
      </w:pPr>
      <w:r>
        <w:t xml:space="preserve">1.1 Purpose</w:t>
      </w:r>
    </w:p>
    <w:p>
      <w:pPr>
        <w:pStyle w:val="FirstParagraph"/>
      </w:pPr>
      <w:r>
        <w:t xml:space="preserve">Terra-Audit aims to provide carbon project developers, researchers and</w:t>
      </w:r>
      <w:r>
        <w:t xml:space="preserve"> </w:t>
      </w:r>
      <w:r>
        <w:t xml:space="preserve">auditors with an intuitive and verifiable environment for turning</w:t>
      </w:r>
      <w:r>
        <w:t xml:space="preserve"> </w:t>
      </w:r>
      <w:r>
        <w:t xml:space="preserve">satellite radar signals into carbon credit evidence. The platform</w:t>
      </w:r>
      <w:r>
        <w:t xml:space="preserve"> </w:t>
      </w:r>
      <w:r>
        <w:t xml:space="preserve">combines field boundary management, Sentinel-1 time-series analytics,</w:t>
      </w:r>
      <w:r>
        <w:t xml:space="preserve"> </w:t>
      </w:r>
      <w:r>
        <w:t xml:space="preserve">rule-based and AI-assisted AWD event detection, VM0051-aligned carbon</w:t>
      </w:r>
      <w:r>
        <w:t xml:space="preserve"> </w:t>
      </w:r>
      <w:r>
        <w:t xml:space="preserve">accounting, and one-click export of a complete evidence package (PDF,</w:t>
      </w:r>
      <w:r>
        <w:t xml:space="preserve"> </w:t>
      </w:r>
      <w:r>
        <w:t xml:space="preserve">JSON, CSV). By integrating exciting features like machine-learning AWD</w:t>
      </w:r>
      <w:r>
        <w:t xml:space="preserve"> </w:t>
      </w:r>
      <w:r>
        <w:t xml:space="preserve">detection with per-prediction confidence and automatic phenology-derived</w:t>
      </w:r>
      <w:r>
        <w:t xml:space="preserve"> </w:t>
      </w:r>
      <w:r>
        <w:t xml:space="preserve">season detection, Terra-Audit makes smallholder rice carbon projects in</w:t>
      </w:r>
      <w:r>
        <w:t xml:space="preserve"> </w:t>
      </w:r>
      <w:r>
        <w:t xml:space="preserve">Bangladesh and South Asia measurable without any on-the-ground hardware.</w:t>
      </w:r>
    </w:p>
    <w:bookmarkEnd w:id="24"/>
    <w:bookmarkStart w:id="25" w:name="intended-audience"/>
    <w:p>
      <w:pPr>
        <w:pStyle w:val="Heading2"/>
      </w:pPr>
      <w:r>
        <w:t xml:space="preserve">1.2 Intended Audience</w:t>
      </w:r>
    </w:p>
    <w:p>
      <w:pPr>
        <w:pStyle w:val="FirstParagraph"/>
      </w:pPr>
      <w:r>
        <w:t xml:space="preserve">The primary audience for this SRS document includes: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Developers:</w:t>
      </w:r>
      <w:r>
        <w:t xml:space="preserve"> </w:t>
      </w:r>
      <w:r>
        <w:t xml:space="preserve">To understand the functional requirements, module</w:t>
      </w:r>
      <w:r>
        <w:t xml:space="preserve"> </w:t>
      </w:r>
      <w:r>
        <w:t xml:space="preserve">boundaries and calculation logic for implementing the platform.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Project Managers:</w:t>
      </w:r>
      <w:r>
        <w:t xml:space="preserve"> </w:t>
      </w:r>
      <w:r>
        <w:t xml:space="preserve">To plan and allocate resources efficiently.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Stakeholders:</w:t>
      </w:r>
      <w:r>
        <w:t xml:space="preserve"> </w:t>
      </w:r>
      <w:r>
        <w:t xml:space="preserve">To review and provide feedback on the project’s</w:t>
      </w:r>
      <w:r>
        <w:t xml:space="preserve"> </w:t>
      </w:r>
      <w:r>
        <w:t xml:space="preserve">goals and requirements.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Quality Assurance Team:</w:t>
      </w:r>
      <w:r>
        <w:t xml:space="preserve"> </w:t>
      </w:r>
      <w:r>
        <w:t xml:space="preserve">To ensure all features are delivered as</w:t>
      </w:r>
      <w:r>
        <w:t xml:space="preserve"> </w:t>
      </w:r>
      <w:r>
        <w:t xml:space="preserve">specified, especially the traceability of every carbon number.</w:t>
      </w:r>
    </w:p>
    <w:p>
      <w:pPr>
        <w:numPr>
          <w:ilvl w:val="0"/>
          <w:numId w:val="1010"/>
        </w:numPr>
        <w:pStyle w:val="Compact"/>
      </w:pPr>
      <w:r>
        <w:rPr>
          <w:bCs/>
          <w:b/>
        </w:rPr>
        <w:t xml:space="preserve">End Users:</w:t>
      </w:r>
      <w:r>
        <w:t xml:space="preserve"> </w:t>
      </w:r>
      <w:r>
        <w:t xml:space="preserve">Carbon project developers, agronomy researchers and</w:t>
      </w:r>
      <w:r>
        <w:t xml:space="preserve"> </w:t>
      </w:r>
      <w:r>
        <w:t xml:space="preserve">third-party auditors who will use the platform to generate and verify</w:t>
      </w:r>
      <w:r>
        <w:t xml:space="preserve"> </w:t>
      </w:r>
      <w:r>
        <w:t xml:space="preserve">AWD carbon credit evidence.</w:t>
      </w:r>
    </w:p>
    <w:bookmarkEnd w:id="25"/>
    <w:bookmarkStart w:id="26" w:name="usage-scenarios"/>
    <w:p>
      <w:pPr>
        <w:pStyle w:val="Heading2"/>
      </w:pPr>
      <w:r>
        <w:t xml:space="preserve">1.3 Usage Scenarios</w:t>
      </w:r>
    </w:p>
    <w:p>
      <w:pPr>
        <w:pStyle w:val="FirstParagraph"/>
      </w:pPr>
      <w:r>
        <w:rPr>
          <w:bCs/>
          <w:b/>
        </w:rPr>
        <w:t xml:space="preserve">Scenario 1: Registering a Field and Running Signal Analytics</w:t>
      </w:r>
    </w:p>
    <w:p>
      <w:pPr>
        <w:numPr>
          <w:ilvl w:val="0"/>
          <w:numId w:val="1011"/>
        </w:numPr>
        <w:pStyle w:val="Compact"/>
      </w:pPr>
      <w:r>
        <w:t xml:space="preserve">A carbon project developer opens Terra-Audit and draws a rice paddy</w:t>
      </w:r>
      <w:r>
        <w:t xml:space="preserve"> </w:t>
      </w:r>
      <w:r>
        <w:t xml:space="preserve">boundary on the interactive map (or uploads a GeoJSON/KML file, or</w:t>
      </w:r>
      <w:r>
        <w:t xml:space="preserve"> </w:t>
      </w:r>
      <w:r>
        <w:t xml:space="preserve">pastes GPS coordinates).</w:t>
      </w:r>
    </w:p>
    <w:p>
      <w:pPr>
        <w:numPr>
          <w:ilvl w:val="0"/>
          <w:numId w:val="1011"/>
        </w:numPr>
        <w:pStyle w:val="Compact"/>
      </w:pPr>
      <w:r>
        <w:t xml:space="preserve">The system computes the field area automatically and the developer</w:t>
      </w:r>
      <w:r>
        <w:t xml:space="preserve"> </w:t>
      </w:r>
      <w:r>
        <w:t xml:space="preserve">saves the field with an ID, name and district.</w:t>
      </w:r>
    </w:p>
    <w:p>
      <w:pPr>
        <w:numPr>
          <w:ilvl w:val="0"/>
          <w:numId w:val="1011"/>
        </w:numPr>
        <w:pStyle w:val="Compact"/>
      </w:pPr>
      <w:r>
        <w:t xml:space="preserve">The developer selects a monitoring season (e.g.,</w:t>
      </w:r>
      <w:r>
        <w:t xml:space="preserve"> </w:t>
      </w:r>
      <w:r>
        <w:t xml:space="preserve">“</w:t>
      </w:r>
      <w:r>
        <w:t xml:space="preserve">Boro 2026</w:t>
      </w:r>
      <w:r>
        <w:t xml:space="preserve">”</w:t>
      </w:r>
      <w:r>
        <w:t xml:space="preserve">) and</w:t>
      </w:r>
      <w:r>
        <w:t xml:space="preserve"> </w:t>
      </w:r>
      <w:r>
        <w:t xml:space="preserve">runs the analytics engine.</w:t>
      </w:r>
    </w:p>
    <w:p>
      <w:pPr>
        <w:numPr>
          <w:ilvl w:val="0"/>
          <w:numId w:val="1011"/>
        </w:numPr>
        <w:pStyle w:val="Compact"/>
      </w:pPr>
      <w:r>
        <w:t xml:space="preserve">Terra-Audit checks its local cache, fetches any missing Sentinel-1</w:t>
      </w:r>
      <w:r>
        <w:t xml:space="preserve"> </w:t>
      </w:r>
      <w:r>
        <w:t xml:space="preserve">observations from Google Earth Engine, smooths the signal, and marks</w:t>
      </w:r>
      <w:r>
        <w:t xml:space="preserve"> </w:t>
      </w:r>
      <w:r>
        <w:t xml:space="preserve">flooded states and AWD drydown events on an interactive chart.</w:t>
      </w:r>
    </w:p>
    <w:p>
      <w:pPr>
        <w:numPr>
          <w:ilvl w:val="0"/>
          <w:numId w:val="1011"/>
        </w:numPr>
        <w:pStyle w:val="Compact"/>
      </w:pPr>
      <w:r>
        <w:t xml:space="preserve">Sowing and harvest dates are derived from the VH phenology signal and</w:t>
      </w:r>
      <w:r>
        <w:t xml:space="preserve"> </w:t>
      </w:r>
      <w:r>
        <w:t xml:space="preserve">the season length is auto-populated for the carbon calculation.</w:t>
      </w:r>
    </w:p>
    <w:p>
      <w:pPr>
        <w:pStyle w:val="FirstParagraph"/>
      </w:pPr>
      <w:r>
        <w:rPr>
          <w:bCs/>
          <w:b/>
        </w:rPr>
        <w:t xml:space="preserve">Scenario 2: Generating a Carbon Credit Estimate and Evidence Package</w:t>
      </w:r>
    </w:p>
    <w:p>
      <w:pPr>
        <w:numPr>
          <w:ilvl w:val="0"/>
          <w:numId w:val="1012"/>
        </w:numPr>
        <w:pStyle w:val="Compact"/>
      </w:pPr>
      <w:r>
        <w:t xml:space="preserve">The developer opens the Carbon Asset Ledger tab, which is pre-filled</w:t>
      </w:r>
      <w:r>
        <w:t xml:space="preserve"> </w:t>
      </w:r>
      <w:r>
        <w:t xml:space="preserve">with the detected AWD event count, season length and field area.</w:t>
      </w:r>
    </w:p>
    <w:p>
      <w:pPr>
        <w:numPr>
          <w:ilvl w:val="0"/>
          <w:numId w:val="1012"/>
        </w:numPr>
        <w:pStyle w:val="Compact"/>
      </w:pPr>
      <w:r>
        <w:t xml:space="preserve">The VM0051 QA3 engine computes baseline vs. project CH₄ emissions,</w:t>
      </w:r>
      <w:r>
        <w:t xml:space="preserve"> </w:t>
      </w:r>
      <w:r>
        <w:t xml:space="preserve">applies the IPCC water scaling factor, deducts the 15% uncertainty</w:t>
      </w:r>
      <w:r>
        <w:t xml:space="preserve"> </w:t>
      </w:r>
      <w:r>
        <w:t xml:space="preserve">buffer and the N₂O irrigation penalty, and reports the final issuable</w:t>
      </w:r>
      <w:r>
        <w:t xml:space="preserve"> </w:t>
      </w:r>
      <w:r>
        <w:t xml:space="preserve">tCO₂e with a step-by-step audit trail.</w:t>
      </w:r>
    </w:p>
    <w:p>
      <w:pPr>
        <w:numPr>
          <w:ilvl w:val="0"/>
          <w:numId w:val="1012"/>
        </w:numPr>
        <w:pStyle w:val="Compact"/>
      </w:pPr>
      <w:r>
        <w:t xml:space="preserve">The developer downloads the evidence package — a PDF report, a</w:t>
      </w:r>
      <w:r>
        <w:t xml:space="preserve"> </w:t>
      </w:r>
      <w:r>
        <w:t xml:space="preserve">machine-readable JSON audit record, and the raw time-series CSV — and</w:t>
      </w:r>
      <w:r>
        <w:t xml:space="preserve"> </w:t>
      </w:r>
      <w:r>
        <w:t xml:space="preserve">hands it to a third-party auditor, who can reconstruct every number.</w:t>
      </w:r>
    </w:p>
    <w:p>
      <w:pPr>
        <w:pStyle w:val="FirstParagraph"/>
      </w:pPr>
      <w:r>
        <w:rPr>
          <w:bCs/>
          <w:b/>
        </w:rPr>
        <w:t xml:space="preserve">Scenario 3: Training and Validating AI Detection Models</w:t>
      </w:r>
    </w:p>
    <w:p>
      <w:pPr>
        <w:numPr>
          <w:ilvl w:val="0"/>
          <w:numId w:val="1013"/>
        </w:numPr>
        <w:pStyle w:val="Compact"/>
      </w:pPr>
      <w:r>
        <w:t xml:space="preserve">A researcher builds a labeled dataset from previously analyzed fields</w:t>
      </w:r>
      <w:r>
        <w:t xml:space="preserve"> </w:t>
      </w:r>
      <w:r>
        <w:t xml:space="preserve">and trains Random Forest and XGBoost baseline classifiers.</w:t>
      </w:r>
    </w:p>
    <w:p>
      <w:pPr>
        <w:numPr>
          <w:ilvl w:val="0"/>
          <w:numId w:val="1013"/>
        </w:numPr>
        <w:pStyle w:val="Compact"/>
      </w:pPr>
      <w:r>
        <w:t xml:space="preserve">In the AI Validation tab, the researcher compares both models’</w:t>
      </w:r>
      <w:r>
        <w:t xml:space="preserve"> </w:t>
      </w:r>
      <w:r>
        <w:t xml:space="preserve">precision, recall, F1, confusion matrices, feature importance and ROC</w:t>
      </w:r>
      <w:r>
        <w:t xml:space="preserve"> </w:t>
      </w:r>
      <w:r>
        <w:t xml:space="preserve">curves against the rule-based threshold gate.</w:t>
      </w:r>
    </w:p>
    <w:p>
      <w:pPr>
        <w:numPr>
          <w:ilvl w:val="0"/>
          <w:numId w:val="1013"/>
        </w:numPr>
        <w:pStyle w:val="Compact"/>
      </w:pPr>
      <w:r>
        <w:t xml:space="preserve">On the Signal Analytics tab, the researcher selects a trained model as</w:t>
      </w:r>
      <w:r>
        <w:t xml:space="preserve"> </w:t>
      </w:r>
      <w:r>
        <w:t xml:space="preserve">the active detector; predictions arrive with per-observation</w:t>
      </w:r>
      <w:r>
        <w:t xml:space="preserve"> </w:t>
      </w:r>
      <w:r>
        <w:t xml:space="preserve">confidence, and the app automatically falls back to the threshold gate</w:t>
      </w:r>
      <w:r>
        <w:t xml:space="preserve"> </w:t>
      </w:r>
      <w:r>
        <w:t xml:space="preserve">if the selected model has not been trained yet.</w:t>
      </w:r>
    </w:p>
    <w:bookmarkEnd w:id="26"/>
    <w:bookmarkStart w:id="27" w:name="conclusion"/>
    <w:p>
      <w:pPr>
        <w:pStyle w:val="Heading2"/>
      </w:pPr>
      <w:r>
        <w:t xml:space="preserve">1.4 Conclusion</w:t>
      </w:r>
    </w:p>
    <w:p>
      <w:pPr>
        <w:pStyle w:val="FirstParagraph"/>
      </w:pPr>
      <w:r>
        <w:t xml:space="preserve">This document serves as a comprehensive reference for the requirements</w:t>
      </w:r>
      <w:r>
        <w:t xml:space="preserve"> </w:t>
      </w:r>
      <w:r>
        <w:t xml:space="preserve">of Terra-Audit. It ensures all stakeholders have a shared understanding</w:t>
      </w:r>
      <w:r>
        <w:t xml:space="preserve"> </w:t>
      </w:r>
      <w:r>
        <w:t xml:space="preserve">of the project’s objectives and scope, paving the way for successful</w:t>
      </w:r>
      <w:r>
        <w:t xml:space="preserve"> </w:t>
      </w:r>
      <w:r>
        <w:t xml:space="preserve">development and deployment.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5" w:name="inception"/>
    <w:p>
      <w:pPr>
        <w:pStyle w:val="Heading1"/>
      </w:pPr>
      <w:r>
        <w:t xml:space="preserve">2. Inception</w:t>
      </w:r>
    </w:p>
    <w:bookmarkStart w:id="29" w:name="understanding-the-problem"/>
    <w:p>
      <w:pPr>
        <w:pStyle w:val="Heading2"/>
      </w:pPr>
      <w:r>
        <w:t xml:space="preserve">2.1 Understanding the Problem</w:t>
      </w:r>
    </w:p>
    <w:p>
      <w:pPr>
        <w:pStyle w:val="FirstParagraph"/>
      </w:pPr>
      <w:r>
        <w:t xml:space="preserve">Rice paddies are a major source of anthropogenic methane, and AWD</w:t>
      </w:r>
      <w:r>
        <w:t xml:space="preserve"> </w:t>
      </w:r>
      <w:r>
        <w:t xml:space="preserve">irrigation is a proven mitigation practice — but existing carbon-credit</w:t>
      </w:r>
      <w:r>
        <w:t xml:space="preserve"> </w:t>
      </w:r>
      <w:r>
        <w:t xml:space="preserve">workflows fail to verify it credibly. Terra-Audit is designed to address</w:t>
      </w:r>
      <w:r>
        <w:t xml:space="preserve"> </w:t>
      </w:r>
      <w:r>
        <w:t xml:space="preserve">the following challenges:</w:t>
      </w:r>
    </w:p>
    <w:p>
      <w:pPr>
        <w:numPr>
          <w:ilvl w:val="0"/>
          <w:numId w:val="1014"/>
        </w:numPr>
        <w:pStyle w:val="Compact"/>
      </w:pPr>
      <w:r>
        <w:t xml:space="preserve">Self-reported irrigation logs from farmers are unverifiable and easily</w:t>
      </w:r>
      <w:r>
        <w:t xml:space="preserve"> </w:t>
      </w:r>
      <w:r>
        <w:t xml:space="preserve">disputed by auditors.</w:t>
      </w:r>
    </w:p>
    <w:p>
      <w:pPr>
        <w:numPr>
          <w:ilvl w:val="0"/>
          <w:numId w:val="1014"/>
        </w:numPr>
        <w:pStyle w:val="Compact"/>
      </w:pPr>
      <w:r>
        <w:t xml:space="preserve">On-the-ground water-level loggers are too expensive to deploy across</w:t>
      </w:r>
      <w:r>
        <w:t xml:space="preserve"> </w:t>
      </w:r>
      <w:r>
        <w:t xml:space="preserve">thousands of smallholder paddies.</w:t>
      </w:r>
    </w:p>
    <w:p>
      <w:pPr>
        <w:numPr>
          <w:ilvl w:val="0"/>
          <w:numId w:val="1014"/>
        </w:numPr>
        <w:pStyle w:val="Compact"/>
      </w:pPr>
      <w:r>
        <w:t xml:space="preserve">Carbon credit calculations are usually opaque spreadsheets; auditors</w:t>
      </w:r>
      <w:r>
        <w:t xml:space="preserve"> </w:t>
      </w:r>
      <w:r>
        <w:t xml:space="preserve">cannot trace how an issued tonne was derived.</w:t>
      </w:r>
    </w:p>
    <w:p>
      <w:pPr>
        <w:numPr>
          <w:ilvl w:val="0"/>
          <w:numId w:val="1014"/>
        </w:numPr>
        <w:pStyle w:val="Compact"/>
      </w:pPr>
      <w:r>
        <w:t xml:space="preserve">Evidence is fragmented — field boundaries, satellite data, event</w:t>
      </w:r>
      <w:r>
        <w:t xml:space="preserve"> </w:t>
      </w:r>
      <w:r>
        <w:t xml:space="preserve">detection and emission math live in disconnected tools.</w:t>
      </w:r>
    </w:p>
    <w:bookmarkEnd w:id="29"/>
    <w:bookmarkStart w:id="30" w:name="icebreaking"/>
    <w:p>
      <w:pPr>
        <w:pStyle w:val="Heading2"/>
      </w:pPr>
      <w:r>
        <w:t xml:space="preserve">2.2 Icebreaking</w:t>
      </w:r>
    </w:p>
    <w:p>
      <w:pPr>
        <w:pStyle w:val="FirstParagraph"/>
      </w:pPr>
      <w:r>
        <w:t xml:space="preserve">Terra-Audit bridges the gap between field reality and registry-grade</w:t>
      </w:r>
      <w:r>
        <w:t xml:space="preserve"> </w:t>
      </w:r>
      <w:r>
        <w:t xml:space="preserve">evidence by fostering a unified platform that:</w:t>
      </w:r>
    </w:p>
    <w:p>
      <w:pPr>
        <w:numPr>
          <w:ilvl w:val="0"/>
          <w:numId w:val="1015"/>
        </w:numPr>
        <w:pStyle w:val="Compact"/>
      </w:pPr>
      <w:r>
        <w:t xml:space="preserve">Uses freely available Sentinel-1 radar data, which sees through clouds</w:t>
      </w:r>
      <w:r>
        <w:t xml:space="preserve"> </w:t>
      </w:r>
      <w:r>
        <w:t xml:space="preserve">and works day and night — ideal for monsoon-season Bangladesh.</w:t>
      </w:r>
    </w:p>
    <w:p>
      <w:pPr>
        <w:numPr>
          <w:ilvl w:val="0"/>
          <w:numId w:val="1015"/>
        </w:numPr>
        <w:pStyle w:val="Compact"/>
      </w:pPr>
      <w:r>
        <w:t xml:space="preserve">Detects flooded and dry paddy states directly from VV backscatter,</w:t>
      </w:r>
      <w:r>
        <w:t xml:space="preserve"> </w:t>
      </w:r>
      <w:r>
        <w:t xml:space="preserve">removing the need for self-reporting.</w:t>
      </w:r>
    </w:p>
    <w:p>
      <w:pPr>
        <w:numPr>
          <w:ilvl w:val="0"/>
          <w:numId w:val="1015"/>
        </w:numPr>
        <w:pStyle w:val="Compact"/>
      </w:pPr>
      <w:r>
        <w:t xml:space="preserve">Applies the Verra VM0051 methodology transparently, exposing every</w:t>
      </w:r>
      <w:r>
        <w:t xml:space="preserve"> </w:t>
      </w:r>
      <w:r>
        <w:t xml:space="preserve">intermediate value of the calculation.</w:t>
      </w:r>
    </w:p>
    <w:p>
      <w:pPr>
        <w:numPr>
          <w:ilvl w:val="0"/>
          <w:numId w:val="1015"/>
        </w:numPr>
        <w:pStyle w:val="Compact"/>
      </w:pPr>
      <w:r>
        <w:t xml:space="preserve">Produces a self-contained, downloadable evidence package that a</w:t>
      </w:r>
      <w:r>
        <w:t xml:space="preserve"> </w:t>
      </w:r>
      <w:r>
        <w:t xml:space="preserve">third-party auditor can independently re-verify.</w:t>
      </w:r>
    </w:p>
    <w:bookmarkEnd w:id="30"/>
    <w:bookmarkStart w:id="31" w:name="identifying-the-stakeholders"/>
    <w:p>
      <w:pPr>
        <w:pStyle w:val="Heading2"/>
      </w:pPr>
      <w:r>
        <w:t xml:space="preserve">2.3 Identifying the Stakeholders</w:t>
      </w:r>
    </w:p>
    <w:p>
      <w:pPr>
        <w:pStyle w:val="FirstParagraph"/>
      </w:pPr>
      <w:r>
        <w:t xml:space="preserve">The key stakeholders for Terra-Audit are: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Carbon Project Developer:</w:t>
      </w:r>
      <w:r>
        <w:t xml:space="preserve"> </w:t>
      </w:r>
      <w:r>
        <w:t xml:space="preserve">As primary users, they register fields,</w:t>
      </w:r>
      <w:r>
        <w:t xml:space="preserve"> </w:t>
      </w:r>
      <w:r>
        <w:t xml:space="preserve">run analytics, and generate credit estimates and evidence packages.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Researcher / Data Scientist:</w:t>
      </w:r>
      <w:r>
        <w:t xml:space="preserve"> </w:t>
      </w:r>
      <w:r>
        <w:t xml:space="preserve">They build datasets, train and</w:t>
      </w:r>
      <w:r>
        <w:t xml:space="preserve"> </w:t>
      </w:r>
      <w:r>
        <w:t xml:space="preserve">validate AI detection models, and study detector agreement.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Auditor:</w:t>
      </w:r>
      <w:r>
        <w:t xml:space="preserve"> </w:t>
      </w:r>
      <w:r>
        <w:t xml:space="preserve">They receive the exported evidence package and verify</w:t>
      </w:r>
      <w:r>
        <w:t xml:space="preserve"> </w:t>
      </w:r>
      <w:r>
        <w:t xml:space="preserve">that every reported number can be reconstructed from the inputs.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Program Operator (farmer cooperative / NGO):</w:t>
      </w:r>
      <w:r>
        <w:t xml:space="preserve"> </w:t>
      </w:r>
      <w:r>
        <w:t xml:space="preserve">They enroll farmers’</w:t>
      </w:r>
      <w:r>
        <w:t xml:space="preserve"> </w:t>
      </w:r>
      <w:r>
        <w:t xml:space="preserve">fields into the program and rely on the platform’s outputs to claim</w:t>
      </w:r>
      <w:r>
        <w:t xml:space="preserve"> </w:t>
      </w:r>
      <w:r>
        <w:t xml:space="preserve">credits on the farmers’ behalf.</w:t>
      </w:r>
    </w:p>
    <w:bookmarkEnd w:id="31"/>
    <w:bookmarkStart w:id="32" w:name="stakeholder-viewpoints"/>
    <w:p>
      <w:pPr>
        <w:pStyle w:val="Heading2"/>
      </w:pPr>
      <w:r>
        <w:t xml:space="preserve">2.4 Stakeholder Viewpoints</w:t>
      </w:r>
    </w:p>
    <w:p>
      <w:pPr>
        <w:pStyle w:val="FirstParagraph"/>
      </w:pPr>
      <w:r>
        <w:t xml:space="preserve">After talking with the stakeholders, we collected the following</w:t>
      </w:r>
      <w:r>
        <w:t xml:space="preserve"> </w:t>
      </w:r>
      <w:r>
        <w:t xml:space="preserve">viewpoints of requirements from them.</w:t>
      </w:r>
    </w:p>
    <w:p>
      <w:pPr>
        <w:pStyle w:val="BodyText"/>
      </w:pPr>
      <w:r>
        <w:rPr>
          <w:bCs/>
          <w:b/>
        </w:rPr>
        <w:t xml:space="preserve">Carbon Project Developer</w:t>
      </w:r>
      <w:r>
        <w:t xml:space="preserve"> </w:t>
      </w:r>
      <w:r>
        <w:t xml:space="preserve">Developers are looking for a platform where a field can be registered in</w:t>
      </w:r>
      <w:r>
        <w:t xml:space="preserve"> </w:t>
      </w:r>
      <w:r>
        <w:t xml:space="preserve">minutes — by drawing on a map, uploading a boundary file, or pasting GPS</w:t>
      </w:r>
      <w:r>
        <w:t xml:space="preserve"> </w:t>
      </w:r>
      <w:r>
        <w:t xml:space="preserve">points — with the area computed automatically. They want a one-click</w:t>
      </w:r>
      <w:r>
        <w:t xml:space="preserve"> </w:t>
      </w:r>
      <w:r>
        <w:t xml:space="preserve">analytics run per season that clearly shows flooded periods, drydown</w:t>
      </w:r>
      <w:r>
        <w:t xml:space="preserve"> </w:t>
      </w:r>
      <w:r>
        <w:t xml:space="preserve">events, and sowing/harvest dates, and a carbon ledger that pre-fills</w:t>
      </w:r>
      <w:r>
        <w:t xml:space="preserve"> </w:t>
      </w:r>
      <w:r>
        <w:t xml:space="preserve">itself from the analytics so credits can be estimated without manual</w:t>
      </w:r>
      <w:r>
        <w:t xml:space="preserve"> </w:t>
      </w:r>
      <w:r>
        <w:t xml:space="preserve">re-entry. Every calculation step must be visible so the estimate</w:t>
      </w:r>
      <w:r>
        <w:t xml:space="preserve"> </w:t>
      </w:r>
      <w:r>
        <w:t xml:space="preserve">survives auditor scrutiny.</w:t>
      </w:r>
    </w:p>
    <w:p>
      <w:pPr>
        <w:pStyle w:val="BodyText"/>
      </w:pPr>
      <w:r>
        <w:rPr>
          <w:bCs/>
          <w:b/>
        </w:rPr>
        <w:t xml:space="preserve">Researcher / Data Scientist</w:t>
      </w:r>
      <w:r>
        <w:t xml:space="preserve"> </w:t>
      </w:r>
      <w:r>
        <w:t xml:space="preserve">Researchers seek reproducible pipelines: a labeled dataset built from</w:t>
      </w:r>
      <w:r>
        <w:t xml:space="preserve"> </w:t>
      </w:r>
      <w:r>
        <w:t xml:space="preserve">consistent rules, standard classifiers (Random Forest, XGBoost) trained</w:t>
      </w:r>
      <w:r>
        <w:t xml:space="preserve"> </w:t>
      </w:r>
      <w:r>
        <w:t xml:space="preserve">with cross-validation, and honest metrics — clearly framed as agreement</w:t>
      </w:r>
      <w:r>
        <w:t xml:space="preserve"> </w:t>
      </w:r>
      <w:r>
        <w:t xml:space="preserve">with the rule-based gate, since no independent ground truth exists.</w:t>
      </w:r>
      <w:r>
        <w:t xml:space="preserve"> </w:t>
      </w:r>
      <w:r>
        <w:t xml:space="preserve">They also want to swap the active detector at analysis time and see</w:t>
      </w:r>
      <w:r>
        <w:t xml:space="preserve"> </w:t>
      </w:r>
      <w:r>
        <w:t xml:space="preserve">per-prediction confidence.</w:t>
      </w:r>
    </w:p>
    <w:p>
      <w:pPr>
        <w:pStyle w:val="BodyText"/>
      </w:pPr>
      <w:r>
        <w:rPr>
          <w:bCs/>
          <w:b/>
        </w:rPr>
        <w:t xml:space="preserve">Auditor</w:t>
      </w:r>
      <w:r>
        <w:t xml:space="preserve"> </w:t>
      </w:r>
      <w:r>
        <w:t xml:space="preserve">Auditors need a self-contained evidence package: field identity and</w:t>
      </w:r>
      <w:r>
        <w:t xml:space="preserve"> </w:t>
      </w:r>
      <w:r>
        <w:t xml:space="preserve">geometry, the exact monitoring window, the raw satellite observations,</w:t>
      </w:r>
      <w:r>
        <w:t xml:space="preserve"> </w:t>
      </w:r>
      <w:r>
        <w:t xml:space="preserve">the detected events, the methodology constants used, and the arithmetic</w:t>
      </w:r>
      <w:r>
        <w:t xml:space="preserve"> </w:t>
      </w:r>
      <w:r>
        <w:t xml:space="preserve">from baseline emissions to final issuance — in both human-readable (PDF)</w:t>
      </w:r>
      <w:r>
        <w:t xml:space="preserve"> </w:t>
      </w:r>
      <w:r>
        <w:t xml:space="preserve">and machine-readable (JSON/CSV) forms.</w:t>
      </w:r>
    </w:p>
    <w:p>
      <w:pPr>
        <w:pStyle w:val="BodyText"/>
      </w:pPr>
      <w:r>
        <w:rPr>
          <w:bCs/>
          <w:b/>
        </w:rPr>
        <w:t xml:space="preserve">Program Operator</w:t>
      </w:r>
      <w:r>
        <w:t xml:space="preserve"> </w:t>
      </w:r>
      <w:r>
        <w:t xml:space="preserve">Operators want low cost above all: no field hardware, free satellite</w:t>
      </w:r>
      <w:r>
        <w:t xml:space="preserve"> </w:t>
      </w:r>
      <w:r>
        <w:t xml:space="preserve">data, and a tool simple enough that one technician can process an entire</w:t>
      </w:r>
      <w:r>
        <w:t xml:space="preserve"> </w:t>
      </w:r>
      <w:r>
        <w:t xml:space="preserve">district’s fields season by season.</w:t>
      </w:r>
    </w:p>
    <w:bookmarkEnd w:id="32"/>
    <w:bookmarkStart w:id="33" w:name="working-towards-collaboration"/>
    <w:p>
      <w:pPr>
        <w:pStyle w:val="Heading2"/>
      </w:pPr>
      <w:r>
        <w:t xml:space="preserve">2.5 Working Towards Collaboration</w:t>
      </w:r>
    </w:p>
    <w:p>
      <w:pPr>
        <w:pStyle w:val="FirstParagraph"/>
      </w:pPr>
      <w:r>
        <w:t xml:space="preserve">Collaborative efforts are focused on:</w:t>
      </w:r>
    </w:p>
    <w:p>
      <w:pPr>
        <w:numPr>
          <w:ilvl w:val="0"/>
          <w:numId w:val="1017"/>
        </w:numPr>
        <w:pStyle w:val="Compact"/>
      </w:pPr>
      <w:r>
        <w:t xml:space="preserve">Aligning the platform’s features with stakeholder needs, prioritizing</w:t>
      </w:r>
      <w:r>
        <w:t xml:space="preserve"> </w:t>
      </w:r>
      <w:r>
        <w:t xml:space="preserve">verifiability of the carbon math.</w:t>
      </w:r>
    </w:p>
    <w:p>
      <w:pPr>
        <w:numPr>
          <w:ilvl w:val="0"/>
          <w:numId w:val="1017"/>
        </w:numPr>
        <w:pStyle w:val="Compact"/>
      </w:pPr>
      <w:r>
        <w:t xml:space="preserve">Establishing open channels for feedback throughout the development</w:t>
      </w:r>
      <w:r>
        <w:t xml:space="preserve"> </w:t>
      </w:r>
      <w:r>
        <w:t xml:space="preserve">lifecycle.</w:t>
      </w:r>
    </w:p>
    <w:p>
      <w:pPr>
        <w:numPr>
          <w:ilvl w:val="0"/>
          <w:numId w:val="1017"/>
        </w:numPr>
        <w:pStyle w:val="Compact"/>
      </w:pPr>
      <w:r>
        <w:t xml:space="preserve">Encouraging active involvement of key stakeholders during testing</w:t>
      </w:r>
      <w:r>
        <w:t xml:space="preserve"> </w:t>
      </w:r>
      <w:r>
        <w:t xml:space="preserve">phases to refine the platform’s usability and the completeness of the</w:t>
      </w:r>
      <w:r>
        <w:t xml:space="preserve"> </w:t>
      </w:r>
      <w:r>
        <w:t xml:space="preserve">evidence package.</w:t>
      </w:r>
    </w:p>
    <w:bookmarkEnd w:id="33"/>
    <w:bookmarkStart w:id="34" w:name="elicitation-of-terra-audit"/>
    <w:p>
      <w:pPr>
        <w:pStyle w:val="Heading2"/>
      </w:pPr>
      <w:r>
        <w:t xml:space="preserve">2.6 Elicitation of Terra-Audit</w:t>
      </w:r>
    </w:p>
    <w:p>
      <w:pPr>
        <w:pStyle w:val="FirstParagraph"/>
      </w:pPr>
      <w:r>
        <w:t xml:space="preserve">The following Terra-Audit capability areas were identified during</w:t>
      </w:r>
      <w:r>
        <w:t xml:space="preserve"> </w:t>
      </w:r>
      <w:r>
        <w:t xml:space="preserve">requirements gathering: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Field Management:</w:t>
      </w:r>
      <w:r>
        <w:t xml:space="preserve"> </w:t>
      </w:r>
      <w:r>
        <w:t xml:space="preserve">Draw, upload or paste field boundaries; automatic</w:t>
      </w:r>
      <w:r>
        <w:t xml:space="preserve"> </w:t>
      </w:r>
      <w:r>
        <w:t xml:space="preserve">area computation; persistent field registry.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Satellite Data Engine:</w:t>
      </w:r>
      <w:r>
        <w:t xml:space="preserve"> </w:t>
      </w:r>
      <w:r>
        <w:t xml:space="preserve">Sentinel-1 SAR retrieval from Google Earth</w:t>
      </w:r>
      <w:r>
        <w:t xml:space="preserve"> </w:t>
      </w:r>
      <w:r>
        <w:t xml:space="preserve">Engine with local caching for repeat analysis.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MRV Signal Analytics:</w:t>
      </w:r>
      <w:r>
        <w:t xml:space="preserve"> </w:t>
      </w:r>
      <w:r>
        <w:t xml:space="preserve">Rule-based and AI-assisted detection of</w:t>
      </w:r>
      <w:r>
        <w:t xml:space="preserve"> </w:t>
      </w:r>
      <w:r>
        <w:t xml:space="preserve">flooded states, AWD drydown events, and crop phenology.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Carbon Estimation:</w:t>
      </w:r>
      <w:r>
        <w:t xml:space="preserve"> </w:t>
      </w:r>
      <w:r>
        <w:t xml:space="preserve">Transparent VM0051 QA3 credit calculation with</w:t>
      </w:r>
      <w:r>
        <w:t xml:space="preserve"> </w:t>
      </w:r>
      <w:r>
        <w:t xml:space="preserve">IPCC default factors.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Evidence Reporting:</w:t>
      </w:r>
      <w:r>
        <w:t xml:space="preserve"> </w:t>
      </w:r>
      <w:r>
        <w:t xml:space="preserve">Exportable PDF / JSON / CSV audit package.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AI Validation:</w:t>
      </w:r>
      <w:r>
        <w:t xml:space="preserve"> </w:t>
      </w:r>
      <w:r>
        <w:t xml:space="preserve">Dataset building, model training and evaluation</w:t>
      </w:r>
      <w:r>
        <w:t xml:space="preserve"> </w:t>
      </w:r>
      <w:r>
        <w:t xml:space="preserve">dashboards.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Visualization:</w:t>
      </w:r>
      <w:r>
        <w:t xml:space="preserve"> </w:t>
      </w:r>
      <w:r>
        <w:t xml:space="preserve">Interactive map, signal charts and carbon ledger in</w:t>
      </w:r>
      <w:r>
        <w:t xml:space="preserve"> </w:t>
      </w:r>
      <w:r>
        <w:t xml:space="preserve">a tabbed dashboard.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8" w:name="quality-function-deployment"/>
    <w:p>
      <w:pPr>
        <w:pStyle w:val="Heading1"/>
      </w:pPr>
      <w:r>
        <w:t xml:space="preserve">3. Quality Function Deployment</w:t>
      </w:r>
    </w:p>
    <w:p>
      <w:pPr>
        <w:pStyle w:val="FirstParagraph"/>
      </w:pPr>
      <w:r>
        <w:t xml:space="preserve">Quality Function Deployment (QFD) is a systematic approach to translate</w:t>
      </w:r>
      <w:r>
        <w:t xml:space="preserve"> </w:t>
      </w:r>
      <w:r>
        <w:t xml:space="preserve">the needs of users into measurable technical requirements. By employing</w:t>
      </w:r>
      <w:r>
        <w:t xml:space="preserve"> </w:t>
      </w:r>
      <w:r>
        <w:t xml:space="preserve">QFD, the platform ensures that stakeholder expectations — above all,</w:t>
      </w:r>
      <w:r>
        <w:t xml:space="preserve"> </w:t>
      </w:r>
      <w:r>
        <w:t xml:space="preserve">auditability of the carbon numbers — are transformed into design</w:t>
      </w:r>
      <w:r>
        <w:t xml:space="preserve"> </w:t>
      </w:r>
      <w:r>
        <w:t xml:space="preserve">specifications that align with the goals of Terra-Audit. This</w:t>
      </w:r>
      <w:r>
        <w:t xml:space="preserve"> </w:t>
      </w:r>
      <w:r>
        <w:t xml:space="preserve">methodology helps maximize user satisfaction by bridging subjective user</w:t>
      </w:r>
      <w:r>
        <w:t xml:space="preserve"> </w:t>
      </w:r>
      <w:r>
        <w:t xml:space="preserve">needs with objective, quantifiable criteria. The requirements listed</w:t>
      </w:r>
      <w:r>
        <w:t xml:space="preserve"> </w:t>
      </w:r>
      <w:r>
        <w:t xml:space="preserve">below were identified and refined using QFD to meet the MRV and</w:t>
      </w:r>
      <w:r>
        <w:t xml:space="preserve"> </w:t>
      </w:r>
      <w:r>
        <w:t xml:space="preserve">technical demands of the platform.</w:t>
      </w:r>
    </w:p>
    <w:p>
      <w:pPr>
        <w:pStyle w:val="BodyText"/>
      </w:pPr>
      <w:r>
        <w:rPr>
          <w:bCs/>
          <w:b/>
        </w:rPr>
        <w:t xml:space="preserve">Collaborative Requirements Gathering</w:t>
      </w:r>
      <w:r>
        <w:t xml:space="preserve"> </w:t>
      </w:r>
      <w:r>
        <w:t xml:space="preserve">Requirements for Terra-Audit were gathered through collaborative</w:t>
      </w:r>
      <w:r>
        <w:t xml:space="preserve"> </w:t>
      </w:r>
      <w:r>
        <w:t xml:space="preserve">workshops involving representatives from all stakeholder groups. This</w:t>
      </w:r>
      <w:r>
        <w:t xml:space="preserve"> </w:t>
      </w:r>
      <w:r>
        <w:t xml:space="preserve">approach ensured:</w:t>
      </w:r>
    </w:p>
    <w:p>
      <w:pPr>
        <w:numPr>
          <w:ilvl w:val="0"/>
          <w:numId w:val="1019"/>
        </w:numPr>
        <w:pStyle w:val="Compact"/>
      </w:pPr>
      <w:r>
        <w:t xml:space="preserve">A holistic understanding of user needs.</w:t>
      </w:r>
    </w:p>
    <w:p>
      <w:pPr>
        <w:numPr>
          <w:ilvl w:val="0"/>
          <w:numId w:val="1019"/>
        </w:numPr>
        <w:pStyle w:val="Compact"/>
      </w:pPr>
      <w:r>
        <w:t xml:space="preserve">Prioritization of features based on stakeholder input.</w:t>
      </w:r>
    </w:p>
    <w:p>
      <w:pPr>
        <w:numPr>
          <w:ilvl w:val="0"/>
          <w:numId w:val="1019"/>
        </w:numPr>
        <w:pStyle w:val="Compact"/>
      </w:pPr>
      <w:r>
        <w:t xml:space="preserve">Early identification of potential challenges and mitigation strategies.</w:t>
      </w:r>
    </w:p>
    <w:bookmarkStart w:id="36" w:name="normal-requirements"/>
    <w:p>
      <w:pPr>
        <w:pStyle w:val="Heading2"/>
      </w:pPr>
      <w:r>
        <w:t xml:space="preserve">3.1 Normal Requirements</w:t>
      </w:r>
    </w:p>
    <w:p>
      <w:pPr>
        <w:pStyle w:val="FirstParagraph"/>
      </w:pPr>
      <w:r>
        <w:rPr>
          <w:bCs/>
          <w:b/>
        </w:rPr>
        <w:t xml:space="preserve">Field Management: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Draw on Map:</w:t>
      </w:r>
      <w:r>
        <w:t xml:space="preserve"> </w:t>
      </w:r>
      <w:r>
        <w:t xml:space="preserve">Users can draw a polygon or rectangle field boundary</w:t>
      </w:r>
      <w:r>
        <w:t xml:space="preserve"> </w:t>
      </w:r>
      <w:r>
        <w:t xml:space="preserve">on an interactive Leaflet map.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Upload Boundary File:</w:t>
      </w:r>
      <w:r>
        <w:t xml:space="preserve"> </w:t>
      </w:r>
      <w:r>
        <w:t xml:space="preserve">Users can upload GeoJSON or KML files;</w:t>
      </w:r>
      <w:r>
        <w:t xml:space="preserve"> </w:t>
      </w:r>
      <w:r>
        <w:t xml:space="preserve">malformed input returns a friendly error instead of crashing.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Paste GPS Coordinates:</w:t>
      </w:r>
      <w:r>
        <w:t xml:space="preserve"> </w:t>
      </w:r>
      <w:r>
        <w:t xml:space="preserve">Users can paste newline-separated</w:t>
      </w:r>
      <w:r>
        <w:t xml:space="preserve"> </w:t>
      </w:r>
      <w:r>
        <w:rPr>
          <w:rStyle w:val="VerbatimChar"/>
        </w:rPr>
        <w:t xml:space="preserve">lat, lon</w:t>
      </w:r>
      <w:r>
        <w:t xml:space="preserve"> </w:t>
      </w:r>
      <w:r>
        <w:t xml:space="preserve">pairs (minimum 3 points) to form a polygon.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Automatic Area Calculation:</w:t>
      </w:r>
      <w:r>
        <w:t xml:space="preserve"> </w:t>
      </w:r>
      <w:r>
        <w:t xml:space="preserve">Field area in hectares is computed via</w:t>
      </w:r>
      <w:r>
        <w:t xml:space="preserve"> </w:t>
      </w:r>
      <w:r>
        <w:t xml:space="preserve">the Shoelace formula with spherical latitude correction.</w:t>
      </w:r>
    </w:p>
    <w:p>
      <w:pPr>
        <w:numPr>
          <w:ilvl w:val="0"/>
          <w:numId w:val="1020"/>
        </w:numPr>
        <w:pStyle w:val="Compact"/>
      </w:pPr>
      <w:r>
        <w:rPr>
          <w:bCs/>
          <w:b/>
        </w:rPr>
        <w:t xml:space="preserve">Field Registry:</w:t>
      </w:r>
      <w:r>
        <w:t xml:space="preserve"> </w:t>
      </w:r>
      <w:r>
        <w:t xml:space="preserve">Fields (ID, name, district, geometry, area) are</w:t>
      </w:r>
      <w:r>
        <w:t xml:space="preserve"> </w:t>
      </w:r>
      <w:r>
        <w:t xml:space="preserve">persisted in a local SQLite database and selectable from the sidebar.</w:t>
      </w:r>
    </w:p>
    <w:p>
      <w:pPr>
        <w:pStyle w:val="FirstParagraph"/>
      </w:pPr>
      <w:r>
        <w:rPr>
          <w:bCs/>
          <w:b/>
        </w:rPr>
        <w:t xml:space="preserve">Satellite Data Engine: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Google Earth Engine Connection:</w:t>
      </w:r>
      <w:r>
        <w:t xml:space="preserve"> </w:t>
      </w:r>
      <w:r>
        <w:t xml:space="preserve">Authenticated GEE session</w:t>
      </w:r>
      <w:r>
        <w:t xml:space="preserve"> </w:t>
      </w:r>
      <w:r>
        <w:t xml:space="preserve">initialized once per app run.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Sentinel-1 Retrieval:</w:t>
      </w:r>
      <w:r>
        <w:t xml:space="preserve"> </w:t>
      </w:r>
      <w:r>
        <w:t xml:space="preserve">VV and VH backscatter over the field</w:t>
      </w:r>
      <w:r>
        <w:t xml:space="preserve"> </w:t>
      </w:r>
      <w:r>
        <w:t xml:space="preserve">geometry, DESCENDING orbital pass only, for a chosen date window.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Derived Indices:</w:t>
      </w:r>
      <w:r>
        <w:t xml:space="preserve"> </w:t>
      </w:r>
      <w:r>
        <w:t xml:space="preserve">Cross Ratio (VH − VV) and Radar Vegetation Index</w:t>
      </w:r>
      <w:r>
        <w:t xml:space="preserve"> </w:t>
      </w:r>
      <w:r>
        <w:t xml:space="preserve">computed per observation.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Time-Series Caching:</w:t>
      </w:r>
      <w:r>
        <w:t xml:space="preserve"> </w:t>
      </w:r>
      <w:r>
        <w:t xml:space="preserve">Observations cached in SQLite keyed by field</w:t>
      </w:r>
      <w:r>
        <w:t xml:space="preserve"> </w:t>
      </w:r>
      <w:r>
        <w:t xml:space="preserve">and monitoring window; cache is checked before every live GEE query.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Signal Smoothing:</w:t>
      </w:r>
      <w:r>
        <w:t xml:space="preserve"> </w:t>
      </w:r>
      <w:r>
        <w:t xml:space="preserve">Savitzky-Golay filter (window 5, polyorder 2)</w:t>
      </w:r>
      <w:r>
        <w:t xml:space="preserve"> </w:t>
      </w:r>
      <w:r>
        <w:t xml:space="preserve">reduces SAR speckle noise, falling back to raw values below 5</w:t>
      </w:r>
      <w:r>
        <w:t xml:space="preserve"> </w:t>
      </w:r>
      <w:r>
        <w:t xml:space="preserve">observations.</w:t>
      </w:r>
    </w:p>
    <w:p>
      <w:pPr>
        <w:pStyle w:val="FirstParagraph"/>
      </w:pPr>
      <w:r>
        <w:rPr>
          <w:bCs/>
          <w:b/>
        </w:rPr>
        <w:t xml:space="preserve">MRV Signal Analytics: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Flood Detection:</w:t>
      </w:r>
      <w:r>
        <w:t xml:space="preserve"> </w:t>
      </w:r>
      <w:r>
        <w:t xml:space="preserve">Z-score anomaly detection on smoothed VV;</w:t>
      </w:r>
      <w:r>
        <w:t xml:space="preserve"> </w:t>
      </w:r>
      <w:r>
        <w:t xml:space="preserve">observations with z-score below −0.8 are flagged as flooded.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Drydown Detection:</w:t>
      </w:r>
      <w:r>
        <w:t xml:space="preserve"> </w:t>
      </w:r>
      <w:r>
        <w:t xml:space="preserve">A sharp positive VV jump (above 1.2σ)</w:t>
      </w:r>
      <w:r>
        <w:t xml:space="preserve"> </w:t>
      </w:r>
      <w:r>
        <w:t xml:space="preserve">immediately following a flooded state counts as one AWD drydown event.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Phenology Detection:</w:t>
      </w:r>
      <w:r>
        <w:t xml:space="preserve"> </w:t>
      </w:r>
      <w:r>
        <w:t xml:space="preserve">Sowing date = global VH minimum; harvest =</w:t>
      </w:r>
      <w:r>
        <w:t xml:space="preserve"> </w:t>
      </w:r>
      <w:r>
        <w:t xml:space="preserve">sharpest post-peak VH drop; requires at least 3 post-sowing</w:t>
      </w:r>
      <w:r>
        <w:t xml:space="preserve"> </w:t>
      </w:r>
      <w:r>
        <w:t xml:space="preserve">observations.</w:t>
      </w:r>
    </w:p>
    <w:p>
      <w:pPr>
        <w:numPr>
          <w:ilvl w:val="0"/>
          <w:numId w:val="1022"/>
        </w:numPr>
        <w:pStyle w:val="Compact"/>
      </w:pPr>
      <w:r>
        <w:rPr>
          <w:bCs/>
          <w:b/>
        </w:rPr>
        <w:t xml:space="preserve">Season Fallback:</w:t>
      </w:r>
      <w:r>
        <w:t xml:space="preserve"> </w:t>
      </w:r>
      <w:r>
        <w:t xml:space="preserve">When phenology cannot be derived, a 120-day</w:t>
      </w:r>
      <w:r>
        <w:t xml:space="preserve"> </w:t>
      </w:r>
      <w:r>
        <w:t xml:space="preserve">default season is used with a visible warning.</w:t>
      </w:r>
    </w:p>
    <w:p>
      <w:pPr>
        <w:pStyle w:val="FirstParagraph"/>
      </w:pPr>
      <w:r>
        <w:rPr>
          <w:bCs/>
          <w:b/>
        </w:rPr>
        <w:t xml:space="preserve">Carbon Estimation (Verra VM0051 v1.0, QA3 pathway):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Water Scaling Factor:</w:t>
      </w:r>
      <w:r>
        <w:t xml:space="preserve"> </w:t>
      </w:r>
      <w:r>
        <w:t xml:space="preserve">SF_w = 1.00 (0 drydowns), 0.71 (1 drydown),</w:t>
      </w:r>
      <w:r>
        <w:t xml:space="preserve"> </w:t>
      </w:r>
      <w:r>
        <w:t xml:space="preserve">0.52 (2 or more drydowns), per IPCC 2019 Refinement Table 5.12.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Methane Accounting:</w:t>
      </w:r>
      <w:r>
        <w:t xml:space="preserve"> </w:t>
      </w:r>
      <w:r>
        <w:t xml:space="preserve">Baseline CH₄ (continuous flooding, SF_w = 1.0)</w:t>
      </w:r>
      <w:r>
        <w:t xml:space="preserve"> </w:t>
      </w:r>
      <w:r>
        <w:t xml:space="preserve">vs. project CH₄, using EF_c = 1.4 kg CH₄/ha/day (South Asia default).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CO₂e Conversion:</w:t>
      </w:r>
      <w:r>
        <w:t xml:space="preserve"> </w:t>
      </w:r>
      <w:r>
        <w:t xml:space="preserve">IPCC AR5 GWP₁₀₀ = 28 for CH₄.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Uncertainty Deduction:</w:t>
      </w:r>
      <w:r>
        <w:t xml:space="preserve"> </w:t>
      </w:r>
      <w:r>
        <w:t xml:space="preserve">Flat 15% QA3 deduction for projects under</w:t>
      </w:r>
      <w:r>
        <w:t xml:space="preserve"> </w:t>
      </w:r>
      <w:r>
        <w:t xml:space="preserve">60,000 tCO₂e/yr.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N₂O Penalty:</w:t>
      </w:r>
      <w:r>
        <w:t xml:space="preserve"> </w:t>
      </w:r>
      <w:r>
        <w:t xml:space="preserve">Irrigation-regime-change penalty (Eq. 25, CF_N2O =</w:t>
      </w:r>
      <w:r>
        <w:t xml:space="preserve"> </w:t>
      </w:r>
      <w:r>
        <w:t xml:space="preserve">0.00314, GWP_N2O = 265), applied only when drydowns occurred.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Leakage Screen:</w:t>
      </w:r>
      <w:r>
        <w:t xml:space="preserve"> </w:t>
      </w:r>
      <w:r>
        <w:t xml:space="preserve">N₂O penalty as a percentage of gross CH₄ reduction,</w:t>
      </w:r>
      <w:r>
        <w:t xml:space="preserve"> </w:t>
      </w:r>
      <w:r>
        <w:t xml:space="preserve">flagged de minimis below 5%.</w:t>
      </w:r>
    </w:p>
    <w:p>
      <w:pPr>
        <w:numPr>
          <w:ilvl w:val="0"/>
          <w:numId w:val="1023"/>
        </w:numPr>
        <w:pStyle w:val="Compact"/>
      </w:pPr>
      <w:r>
        <w:rPr>
          <w:bCs/>
          <w:b/>
        </w:rPr>
        <w:t xml:space="preserve">Final Issuance:</w:t>
      </w:r>
      <w:r>
        <w:t xml:space="preserve"> </w:t>
      </w:r>
      <w:r>
        <w:t xml:space="preserve">CH₄ after uncertainty deduction minus N₂O penalty,</w:t>
      </w:r>
      <w:r>
        <w:t xml:space="preserve"> </w:t>
      </w:r>
      <w:r>
        <w:t xml:space="preserve">floored at zero, with a full step-by-step audit trail in the UI.</w:t>
      </w:r>
    </w:p>
    <w:p>
      <w:pPr>
        <w:pStyle w:val="FirstParagraph"/>
      </w:pPr>
      <w:r>
        <w:rPr>
          <w:bCs/>
          <w:b/>
        </w:rPr>
        <w:t xml:space="preserve">Evidence Reporting: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PDF Report:</w:t>
      </w:r>
      <w:r>
        <w:t xml:space="preserve"> </w:t>
      </w:r>
      <w:r>
        <w:t xml:space="preserve">8-section A4 report (field info, monitoring period,</w:t>
      </w:r>
      <w:r>
        <w:t xml:space="preserve"> </w:t>
      </w:r>
      <w:r>
        <w:t xml:space="preserve">satellite data, AWD events, carbon estimation, methodology,</w:t>
      </w:r>
      <w:r>
        <w:t xml:space="preserve"> </w:t>
      </w:r>
      <w:r>
        <w:t xml:space="preserve">assumptions, limitations).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JSON Audit Record:</w:t>
      </w:r>
      <w:r>
        <w:t xml:space="preserve"> </w:t>
      </w:r>
      <w:r>
        <w:t xml:space="preserve">Machine-readable record embedding all inputs,</w:t>
      </w:r>
      <w:r>
        <w:t xml:space="preserve"> </w:t>
      </w:r>
      <w:r>
        <w:t xml:space="preserve">intermediate values and the full time-series.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CSV Export:</w:t>
      </w:r>
      <w:r>
        <w:t xml:space="preserve"> </w:t>
      </w:r>
      <w:r>
        <w:t xml:space="preserve">Raw time-series for independent reanalysis.</w:t>
      </w:r>
    </w:p>
    <w:p>
      <w:pPr>
        <w:pStyle w:val="FirstParagraph"/>
      </w:pPr>
      <w:r>
        <w:rPr>
          <w:bCs/>
          <w:b/>
        </w:rPr>
        <w:t xml:space="preserve">Visualization Dashboard: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Tabbed UI:</w:t>
      </w:r>
      <w:r>
        <w:t xml:space="preserve"> </w:t>
      </w:r>
      <w:r>
        <w:t xml:space="preserve">Spatial Asset Inspection (map), Statistical Signal</w:t>
      </w:r>
      <w:r>
        <w:t xml:space="preserve"> </w:t>
      </w:r>
      <w:r>
        <w:t xml:space="preserve">Analytics (charts), Carbon Asset Ledger (calculator + export), AI</w:t>
      </w:r>
      <w:r>
        <w:t xml:space="preserve"> </w:t>
      </w:r>
      <w:r>
        <w:t xml:space="preserve">Validation (model metrics).</w:t>
      </w:r>
    </w:p>
    <w:p>
      <w:pPr>
        <w:numPr>
          <w:ilvl w:val="0"/>
          <w:numId w:val="1025"/>
        </w:numPr>
        <w:pStyle w:val="Compact"/>
      </w:pPr>
      <w:r>
        <w:rPr>
          <w:bCs/>
          <w:b/>
        </w:rPr>
        <w:t xml:space="preserve">Progress Checklist:</w:t>
      </w:r>
      <w:r>
        <w:t xml:space="preserve"> </w:t>
      </w:r>
      <w:r>
        <w:t xml:space="preserve">Sidebar tracker — field registered → analytics</w:t>
      </w:r>
      <w:r>
        <w:t xml:space="preserve"> </w:t>
      </w:r>
      <w:r>
        <w:t xml:space="preserve">complete → credits calculated.</w:t>
      </w:r>
    </w:p>
    <w:bookmarkEnd w:id="36"/>
    <w:bookmarkStart w:id="37" w:name="exciting-requirements"/>
    <w:p>
      <w:pPr>
        <w:pStyle w:val="Heading2"/>
      </w:pPr>
      <w:r>
        <w:t xml:space="preserve">3.2 Exciting Requirements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AI-Based AWD Detection:</w:t>
      </w:r>
      <w:r>
        <w:t xml:space="preserve"> </w:t>
      </w:r>
      <w:r>
        <w:t xml:space="preserve">Users can select Random Forest or XGBoost</w:t>
      </w:r>
      <w:r>
        <w:t xml:space="preserve"> </w:t>
      </w:r>
      <w:r>
        <w:t xml:space="preserve">as the active detector; the model overrides the rule-based flags and</w:t>
      </w:r>
      <w:r>
        <w:t xml:space="preserve"> </w:t>
      </w:r>
      <w:r>
        <w:t xml:space="preserve">attaches a per-observation predicted label and confidence score. If</w:t>
      </w:r>
      <w:r>
        <w:t xml:space="preserve"> </w:t>
      </w:r>
      <w:r>
        <w:t xml:space="preserve">the selected model has not been trained, the app automatically falls</w:t>
      </w:r>
      <w:r>
        <w:t xml:space="preserve"> </w:t>
      </w:r>
      <w:r>
        <w:t xml:space="preserve">back to the threshold gate with an explanatory message.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AI Validation Dashboard:</w:t>
      </w:r>
      <w:r>
        <w:t xml:space="preserve"> </w:t>
      </w:r>
      <w:r>
        <w:t xml:space="preserve">Cross-validated precision / recall / F1</w:t>
      </w:r>
      <w:r>
        <w:t xml:space="preserve"> </w:t>
      </w:r>
      <w:r>
        <w:t xml:space="preserve">per class, confusion-matrix heatmap, feature importance and ROC</w:t>
      </w:r>
      <w:r>
        <w:t xml:space="preserve"> </w:t>
      </w:r>
      <w:r>
        <w:t xml:space="preserve">curves — explicitly framed as agreement with the threshold gate, since</w:t>
      </w:r>
      <w:r>
        <w:t xml:space="preserve"> </w:t>
      </w:r>
      <w:r>
        <w:t xml:space="preserve">no independent ground truth exists.</w:t>
      </w:r>
    </w:p>
    <w:p>
      <w:pPr>
        <w:numPr>
          <w:ilvl w:val="0"/>
          <w:numId w:val="1026"/>
        </w:numPr>
        <w:pStyle w:val="Compact"/>
      </w:pPr>
      <w:r>
        <w:rPr>
          <w:bCs/>
          <w:b/>
        </w:rPr>
        <w:t xml:space="preserve">Phenology-Driven Automation:</w:t>
      </w:r>
      <w:r>
        <w:t xml:space="preserve"> </w:t>
      </w:r>
      <w:r>
        <w:t xml:space="preserve">Sowing/harvest dates detected from</w:t>
      </w:r>
      <w:r>
        <w:t xml:space="preserve"> </w:t>
      </w:r>
      <w:r>
        <w:t xml:space="preserve">the VH signal auto-populate the season length in the carbon ledger,</w:t>
      </w:r>
      <w:r>
        <w:t xml:space="preserve"> </w:t>
      </w:r>
      <w:r>
        <w:t xml:space="preserve">removing manual data entry between tabs.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39" w:name="user-story"/>
    <w:p>
      <w:pPr>
        <w:pStyle w:val="Heading1"/>
      </w:pPr>
      <w:r>
        <w:t xml:space="preserve">4. User Story</w:t>
      </w:r>
    </w:p>
    <w:p>
      <w:pPr>
        <w:pStyle w:val="FirstParagraph"/>
      </w:pPr>
      <w:r>
        <w:rPr>
          <w:bCs/>
          <w:b/>
        </w:rPr>
        <w:t xml:space="preserve">Field Management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Field Registration:</w:t>
      </w:r>
      <w:r>
        <w:t xml:space="preserve"> </w:t>
      </w:r>
      <w:r>
        <w:t xml:space="preserve">Any user can register a rice paddy by drawing</w:t>
      </w:r>
      <w:r>
        <w:t xml:space="preserve"> </w:t>
      </w:r>
      <w:r>
        <w:t xml:space="preserve">its boundary on the map, uploading a GeoJSON or KML file, or pasting</w:t>
      </w:r>
      <w:r>
        <w:t xml:space="preserve"> </w:t>
      </w:r>
      <w:r>
        <w:t xml:space="preserve">GPS coordinates as</w:t>
      </w:r>
      <w:r>
        <w:t xml:space="preserve"> </w:t>
      </w:r>
      <w:r>
        <w:rPr>
          <w:rStyle w:val="VerbatimChar"/>
        </w:rPr>
        <w:t xml:space="preserve">lat, lon</w:t>
      </w:r>
      <w:r>
        <w:t xml:space="preserve"> </w:t>
      </w:r>
      <w:r>
        <w:t xml:space="preserve">lines. The system validates the</w:t>
      </w:r>
      <w:r>
        <w:t xml:space="preserve"> </w:t>
      </w:r>
      <w:r>
        <w:t xml:space="preserve">geometry, computes the area in hectares automatically, and suggests</w:t>
      </w:r>
      <w:r>
        <w:t xml:space="preserve"> </w:t>
      </w:r>
      <w:r>
        <w:t xml:space="preserve">the next available field ID. The user completes the registration with</w:t>
      </w:r>
      <w:r>
        <w:t xml:space="preserve"> </w:t>
      </w:r>
      <w:r>
        <w:t xml:space="preserve">a name and district, after which the field appears in the sidebar</w:t>
      </w:r>
      <w:r>
        <w:t xml:space="preserve"> </w:t>
      </w:r>
      <w:r>
        <w:t xml:space="preserve">selector. Invalid uploads never crash the app — a readable error</w:t>
      </w:r>
      <w:r>
        <w:t xml:space="preserve"> </w:t>
      </w:r>
      <w:r>
        <w:t xml:space="preserve">message explains what went wrong.</w:t>
      </w:r>
    </w:p>
    <w:p>
      <w:pPr>
        <w:numPr>
          <w:ilvl w:val="0"/>
          <w:numId w:val="1027"/>
        </w:numPr>
        <w:pStyle w:val="Compact"/>
      </w:pPr>
      <w:r>
        <w:rPr>
          <w:bCs/>
          <w:b/>
        </w:rPr>
        <w:t xml:space="preserve">Field Selection &amp; Deletion:</w:t>
      </w:r>
      <w:r>
        <w:t xml:space="preserve"> </w:t>
      </w:r>
      <w:r>
        <w:t xml:space="preserve">Users pick the active field from a</w:t>
      </w:r>
      <w:r>
        <w:t xml:space="preserve"> </w:t>
      </w:r>
      <w:r>
        <w:t xml:space="preserve">sidebar radio list showing name, district and area. A field can be</w:t>
      </w:r>
      <w:r>
        <w:t xml:space="preserve"> </w:t>
      </w:r>
      <w:r>
        <w:t xml:space="preserve">deleted with a confirmation step, which also removes its cached</w:t>
      </w:r>
      <w:r>
        <w:t xml:space="preserve"> </w:t>
      </w:r>
      <w:r>
        <w:t xml:space="preserve">satellite data and clears any analysis state derived from it.</w:t>
      </w:r>
    </w:p>
    <w:p>
      <w:pPr>
        <w:pStyle w:val="FirstParagraph"/>
      </w:pPr>
      <w:r>
        <w:rPr>
          <w:bCs/>
          <w:b/>
        </w:rPr>
        <w:t xml:space="preserve">Satellite Data Acquisition &amp; Caching</w:t>
      </w:r>
    </w:p>
    <w:p>
      <w:pPr>
        <w:pStyle w:val="BodyText"/>
      </w:pPr>
      <w:r>
        <w:t xml:space="preserve">The user selects a monitoring window — a named season preset (Boro,</w:t>
      </w:r>
      <w:r>
        <w:t xml:space="preserve"> </w:t>
      </w:r>
      <w:r>
        <w:t xml:space="preserve">Aman, Pre-Kharif) or custom dates — and runs the analytics engine. The</w:t>
      </w:r>
      <w:r>
        <w:t xml:space="preserve"> </w:t>
      </w:r>
      <w:r>
        <w:t xml:space="preserve">system first checks the local SQLite cache for that exact field and</w:t>
      </w:r>
      <w:r>
        <w:t xml:space="preserve"> </w:t>
      </w:r>
      <w:r>
        <w:t xml:space="preserve">window; only on a miss does it query Google Earth Engine for Sentinel-1</w:t>
      </w:r>
      <w:r>
        <w:t xml:space="preserve"> </w:t>
      </w:r>
      <w:r>
        <w:t xml:space="preserve">VV/VH backscatter (DESCENDING passes only, to avoid orbit-mixing</w:t>
      </w:r>
      <w:r>
        <w:t xml:space="preserve"> </w:t>
      </w:r>
      <w:r>
        <w:t xml:space="preserve">artifacts). Fresh observations are cached so repeat runs are instant.</w:t>
      </w:r>
      <w:r>
        <w:t xml:space="preserve"> </w:t>
      </w:r>
      <w:r>
        <w:t xml:space="preserve">The UI reports whether data came from cache or a live fetch.</w:t>
      </w:r>
    </w:p>
    <w:p>
      <w:pPr>
        <w:pStyle w:val="BodyText"/>
      </w:pPr>
      <w:r>
        <w:rPr>
          <w:bCs/>
          <w:b/>
        </w:rPr>
        <w:t xml:space="preserve">Signal Analytics (Threshold Gate)</w:t>
      </w:r>
    </w:p>
    <w:p>
      <w:pPr>
        <w:pStyle w:val="BodyText"/>
      </w:pPr>
      <w:r>
        <w:t xml:space="preserve">The rule-based detector standardizes the smoothed VV signal into</w:t>
      </w:r>
      <w:r>
        <w:t xml:space="preserve"> </w:t>
      </w:r>
      <w:r>
        <w:t xml:space="preserve">z-scores, flags observations below −0.8 as flooded, and counts an AWD</w:t>
      </w:r>
      <w:r>
        <w:t xml:space="preserve"> </w:t>
      </w:r>
      <w:r>
        <w:t xml:space="preserve">drydown event whenever the VV signal jumps by more than 1.2σ right</w:t>
      </w:r>
      <w:r>
        <w:t xml:space="preserve"> </w:t>
      </w:r>
      <w:r>
        <w:t xml:space="preserve">after a flooded state. Detected floods and drydowns are marked on an</w:t>
      </w:r>
      <w:r>
        <w:t xml:space="preserve"> </w:t>
      </w:r>
      <w:r>
        <w:t xml:space="preserve">interactive time-series chart, alongside an audit-trail table of every</w:t>
      </w:r>
      <w:r>
        <w:t xml:space="preserve"> </w:t>
      </w:r>
      <w:r>
        <w:t xml:space="preserve">observation and derived value.</w:t>
      </w:r>
    </w:p>
    <w:p>
      <w:pPr>
        <w:pStyle w:val="BodyText"/>
      </w:pPr>
      <w:r>
        <w:rPr>
          <w:bCs/>
          <w:b/>
        </w:rPr>
        <w:t xml:space="preserve">Phenology Detection</w:t>
      </w:r>
    </w:p>
    <w:p>
      <w:pPr>
        <w:pStyle w:val="BodyText"/>
      </w:pPr>
      <w:r>
        <w:t xml:space="preserve">From the smoothed VH signal, the system infers the sowing date (global</w:t>
      </w:r>
      <w:r>
        <w:t xml:space="preserve"> </w:t>
      </w:r>
      <w:r>
        <w:t xml:space="preserve">VH minimum) and harvest date (sharpest post-peak VH drop), and derives</w:t>
      </w:r>
      <w:r>
        <w:t xml:space="preserve"> </w:t>
      </w:r>
      <w:r>
        <w:t xml:space="preserve">the season length from them. When the window has too few observations</w:t>
      </w:r>
      <w:r>
        <w:t xml:space="preserve"> </w:t>
      </w:r>
      <w:r>
        <w:t xml:space="preserve">for reliable phenology, the system falls back to a 120-day season and</w:t>
      </w:r>
      <w:r>
        <w:t xml:space="preserve"> </w:t>
      </w:r>
      <w:r>
        <w:t xml:space="preserve">tells the user it did so.</w:t>
      </w:r>
    </w:p>
    <w:p>
      <w:pPr>
        <w:pStyle w:val="BodyText"/>
      </w:pPr>
      <w:r>
        <w:rPr>
          <w:bCs/>
          <w:b/>
        </w:rPr>
        <w:t xml:space="preserve">Carbon Asset Ledger</w:t>
      </w:r>
    </w:p>
    <w:p>
      <w:pPr>
        <w:pStyle w:val="BodyText"/>
      </w:pPr>
      <w:r>
        <w:t xml:space="preserve">The carbon tab arrives pre-filled with the detected AWD event count,</w:t>
      </w:r>
      <w:r>
        <w:t xml:space="preserve"> </w:t>
      </w:r>
      <w:r>
        <w:t xml:space="preserve">season length and field area. On calculation, the VM0051 QA3 engine</w:t>
      </w:r>
      <w:r>
        <w:t xml:space="preserve"> </w:t>
      </w:r>
      <w:r>
        <w:t xml:space="preserve">shows each step: water scaling factor selection, baseline vs. project</w:t>
      </w:r>
      <w:r>
        <w:t xml:space="preserve"> </w:t>
      </w:r>
      <w:r>
        <w:t xml:space="preserve">CH₄, CO₂e conversion at GWP 28, the 15% uncertainty deduction, the N₂O</w:t>
      </w:r>
      <w:r>
        <w:t xml:space="preserve"> </w:t>
      </w:r>
      <w:r>
        <w:t xml:space="preserve">irrigation penalty, the leakage de-minimis screen, and the final</w:t>
      </w:r>
      <w:r>
        <w:t xml:space="preserve"> </w:t>
      </w:r>
      <w:r>
        <w:t xml:space="preserve">issuable tCO₂e (floored at zero). Nothing is hidden — the ledger is</w:t>
      </w:r>
      <w:r>
        <w:t xml:space="preserve"> </w:t>
      </w:r>
      <w:r>
        <w:t xml:space="preserve">designed to be re-computed by hand.</w:t>
      </w:r>
    </w:p>
    <w:p>
      <w:pPr>
        <w:pStyle w:val="BodyText"/>
      </w:pPr>
      <w:r>
        <w:rPr>
          <w:bCs/>
          <w:b/>
        </w:rPr>
        <w:t xml:space="preserve">Evidence Package Export</w:t>
      </w:r>
    </w:p>
    <w:p>
      <w:pPr>
        <w:pStyle w:val="BodyText"/>
      </w:pPr>
      <w:r>
        <w:t xml:space="preserve">After a successful run, the user downloads three files: a PDF report</w:t>
      </w:r>
      <w:r>
        <w:t xml:space="preserve"> </w:t>
      </w:r>
      <w:r>
        <w:t xml:space="preserve">for human review, a JSON audit record embedding every input and</w:t>
      </w:r>
      <w:r>
        <w:t xml:space="preserve"> </w:t>
      </w:r>
      <w:r>
        <w:t xml:space="preserve">intermediate value plus the full time-series, and the raw CSV. Together</w:t>
      </w:r>
      <w:r>
        <w:t xml:space="preserve"> </w:t>
      </w:r>
      <w:r>
        <w:t xml:space="preserve">they form a self-contained package an external auditor can verify</w:t>
      </w:r>
      <w:r>
        <w:t xml:space="preserve"> </w:t>
      </w:r>
      <w:r>
        <w:t xml:space="preserve">without access to the running system.</w:t>
      </w:r>
    </w:p>
    <w:p>
      <w:pPr>
        <w:pStyle w:val="BodyText"/>
      </w:pPr>
      <w:r>
        <w:rPr>
          <w:bCs/>
          <w:b/>
        </w:rPr>
        <w:t xml:space="preserve">AI Engine (Exciting)</w:t>
      </w:r>
    </w:p>
    <w:p>
      <w:pPr>
        <w:pStyle w:val="BodyText"/>
      </w:pPr>
      <w:r>
        <w:t xml:space="preserve">A labeled dataset is built by replaying the threshold gate over all</w:t>
      </w:r>
      <w:r>
        <w:t xml:space="preserve"> </w:t>
      </w:r>
      <w:r>
        <w:t xml:space="preserve">cached field-window time-series and recording each observation as dry,</w:t>
      </w:r>
      <w:r>
        <w:t xml:space="preserve"> </w:t>
      </w:r>
      <w:r>
        <w:t xml:space="preserve">flooded or drydown. Random Forest and XGBoost classifiers are trained</w:t>
      </w:r>
      <w:r>
        <w:t xml:space="preserve"> </w:t>
      </w:r>
      <w:r>
        <w:t xml:space="preserve">on leakage-safe features (raw and smoothed backscatter, indices, and</w:t>
      </w:r>
      <w:r>
        <w:t xml:space="preserve"> </w:t>
      </w:r>
      <w:r>
        <w:t xml:space="preserve">days-since-sowing — never the gate’s own flags). Trained models are</w:t>
      </w:r>
      <w:r>
        <w:t xml:space="preserve"> </w:t>
      </w:r>
      <w:r>
        <w:t xml:space="preserve">persisted to disk and can be chosen as the active detector on the</w:t>
      </w:r>
      <w:r>
        <w:t xml:space="preserve"> </w:t>
      </w:r>
      <w:r>
        <w:t xml:space="preserve">analytics tab, where their predictions replace the gate’s flags and add</w:t>
      </w:r>
      <w:r>
        <w:t xml:space="preserve"> </w:t>
      </w:r>
      <w:r>
        <w:t xml:space="preserve">a confidence column.</w:t>
      </w:r>
    </w:p>
    <w:p>
      <w:pPr>
        <w:pStyle w:val="BodyText"/>
      </w:pPr>
      <w:r>
        <w:rPr>
          <w:bCs/>
          <w:b/>
        </w:rPr>
        <w:t xml:space="preserve">AI Validation Dashboard</w:t>
      </w:r>
    </w:p>
    <w:p>
      <w:pPr>
        <w:pStyle w:val="BodyText"/>
      </w:pPr>
      <w:r>
        <w:t xml:space="preserve">The researcher runs cross-validated training for both models in one</w:t>
      </w:r>
      <w:r>
        <w:t xml:space="preserve"> </w:t>
      </w:r>
      <w:r>
        <w:t xml:space="preserve">click and compares them side by side: threshold-agreement score, macro</w:t>
      </w:r>
      <w:r>
        <w:t xml:space="preserve"> </w:t>
      </w:r>
      <w:r>
        <w:t xml:space="preserve">precision/recall/F1, per-class metrics, confusion-matrix heatmaps,</w:t>
      </w:r>
      <w:r>
        <w:t xml:space="preserve"> </w:t>
      </w:r>
      <w:r>
        <w:t xml:space="preserve">feature importance and one-vs-rest ROC curves. The dashboard states</w:t>
      </w:r>
      <w:r>
        <w:t xml:space="preserve"> </w:t>
      </w:r>
      <w:r>
        <w:t xml:space="preserve">plainly that all metrics measure agreement with the threshold gate, not</w:t>
      </w:r>
      <w:r>
        <w:t xml:space="preserve"> </w:t>
      </w:r>
      <w:r>
        <w:t xml:space="preserve">accuracy against independently verified irrigation events.</w:t>
      </w:r>
    </w:p>
    <w:p>
      <w:r>
        <w:pict>
          <v:rect style="width:0;height:1.5pt" o:hralign="center" o:hrstd="t" o:hr="t"/>
        </w:pict>
      </w:r>
    </w:p>
    <w:bookmarkEnd w:id="39"/>
    <w:bookmarkStart w:id="114" w:name="scenario-based-modeling"/>
    <w:p>
      <w:pPr>
        <w:pStyle w:val="Heading1"/>
      </w:pPr>
      <w:r>
        <w:t xml:space="preserve">5. Scenario Based Modeling</w:t>
      </w:r>
    </w:p>
    <w:bookmarkStart w:id="80" w:name="use-case-diagram"/>
    <w:p>
      <w:pPr>
        <w:pStyle w:val="Heading2"/>
      </w:pPr>
      <w:r>
        <w:t xml:space="preserve">5.1 Use Case Diagram</w:t>
      </w:r>
    </w:p>
    <w:p>
      <w:pPr>
        <w:pStyle w:val="FirstParagraph"/>
      </w:pPr>
      <w:r>
        <w:t xml:space="preserve">A Use Case describes the system behavior under various conditions as the</w:t>
      </w:r>
      <w:r>
        <w:t xml:space="preserve"> </w:t>
      </w:r>
      <w:r>
        <w:t xml:space="preserve">system responds to a request from one of its stakeholders. In fact, a</w:t>
      </w:r>
      <w:r>
        <w:t xml:space="preserve"> </w:t>
      </w:r>
      <w:r>
        <w:t xml:space="preserve">use case diagram is a kind of visualization of the system where an</w:t>
      </w:r>
      <w:r>
        <w:t xml:space="preserve"> </w:t>
      </w:r>
      <w:r>
        <w:t xml:space="preserve">end-user has an idea of a specific feature. It simply describes a story</w:t>
      </w:r>
      <w:r>
        <w:t xml:space="preserve"> </w:t>
      </w:r>
      <w:r>
        <w:t xml:space="preserve">using corresponding actors who perform important roles in the story and</w:t>
      </w:r>
      <w:r>
        <w:t xml:space="preserve"> </w:t>
      </w:r>
      <w:r>
        <w:t xml:space="preserve">makes the story understandable for the users.</w:t>
      </w:r>
    </w:p>
    <w:p>
      <w:pPr>
        <w:pStyle w:val="BodyText"/>
      </w:pPr>
      <w:r>
        <w:t xml:space="preserve">The first step in writing a Use Case is to define the set of</w:t>
      </w:r>
      <w:r>
        <w:t xml:space="preserve"> </w:t>
      </w:r>
      <w:r>
        <w:t xml:space="preserve">“</w:t>
      </w:r>
      <w:r>
        <w:t xml:space="preserve">actors</w:t>
      </w:r>
      <w:r>
        <w:t xml:space="preserve">”</w:t>
      </w:r>
      <w:r>
        <w:t xml:space="preserve"> </w:t>
      </w:r>
      <w:r>
        <w:t xml:space="preserve">that will be involved in the story. Actors are the different people or</w:t>
      </w:r>
      <w:r>
        <w:t xml:space="preserve"> </w:t>
      </w:r>
      <w:r>
        <w:t xml:space="preserve">systems that use the system or product within the context of the</w:t>
      </w:r>
      <w:r>
        <w:t xml:space="preserve"> </w:t>
      </w:r>
      <w:r>
        <w:t xml:space="preserve">function and behavior that is to be described. Every user has one or</w:t>
      </w:r>
      <w:r>
        <w:t xml:space="preserve"> </w:t>
      </w:r>
      <w:r>
        <w:t xml:space="preserve">more goals when using the system.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Primary actors interact directly to achieve the</w:t>
      </w:r>
      <w:r>
        <w:t xml:space="preserve"> </w:t>
      </w:r>
      <w:r>
        <w:t xml:space="preserve">required system function and derive the intended benefit from the</w:t>
      </w:r>
      <w:r>
        <w:t xml:space="preserve"> </w:t>
      </w:r>
      <w:r>
        <w:t xml:space="preserve">system. They work directly with the software. In Terra-Audit these are</w:t>
      </w:r>
      <w:r>
        <w:t xml:space="preserve"> </w:t>
      </w:r>
      <w:r>
        <w:t xml:space="preserve">the</w:t>
      </w:r>
      <w:r>
        <w:t xml:space="preserve"> </w:t>
      </w:r>
      <w:r>
        <w:rPr>
          <w:bCs/>
          <w:b/>
        </w:rPr>
        <w:t xml:space="preserve">Carbon Project Developer</w:t>
      </w:r>
      <w:r>
        <w:t xml:space="preserve">, the</w:t>
      </w:r>
      <w:r>
        <w:t xml:space="preserve"> </w:t>
      </w:r>
      <w:r>
        <w:rPr>
          <w:bCs/>
          <w:b/>
        </w:rPr>
        <w:t xml:space="preserve">Researcher</w:t>
      </w:r>
      <w:r>
        <w:t xml:space="preserve"> </w:t>
      </w:r>
      <w:r>
        <w:t xml:space="preserve">and the</w:t>
      </w:r>
      <w:r>
        <w:t xml:space="preserve"> </w:t>
      </w:r>
      <w:r>
        <w:rPr>
          <w:bCs/>
          <w:b/>
        </w:rPr>
        <w:t xml:space="preserve">Auditor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Secondary actors support the system so that primary</w:t>
      </w:r>
      <w:r>
        <w:t xml:space="preserve"> </w:t>
      </w:r>
      <w:r>
        <w:t xml:space="preserve">actors can do their work. In Terra-Audit these are</w:t>
      </w:r>
      <w:r>
        <w:t xml:space="preserve"> </w:t>
      </w:r>
      <w:r>
        <w:rPr>
          <w:bCs/>
          <w:b/>
        </w:rPr>
        <w:t xml:space="preserve">Google Earth</w:t>
      </w:r>
      <w:r>
        <w:rPr>
          <w:bCs/>
          <w:b/>
        </w:rPr>
        <w:t xml:space="preserve"> </w:t>
      </w:r>
      <w:r>
        <w:rPr>
          <w:bCs/>
          <w:b/>
        </w:rPr>
        <w:t xml:space="preserve">Engine</w:t>
      </w:r>
      <w:r>
        <w:t xml:space="preserve"> </w:t>
      </w:r>
      <w:r>
        <w:t xml:space="preserve">(satellite data source), the</w:t>
      </w:r>
      <w:r>
        <w:t xml:space="preserve"> </w:t>
      </w:r>
      <w:r>
        <w:rPr>
          <w:bCs/>
          <w:b/>
        </w:rPr>
        <w:t xml:space="preserve">SQLite Project Store</w:t>
      </w:r>
      <w:r>
        <w:t xml:space="preserve"> </w:t>
      </w:r>
      <w:r>
        <w:t xml:space="preserve">(field</w:t>
      </w:r>
      <w:r>
        <w:t xml:space="preserve"> </w:t>
      </w:r>
      <w:r>
        <w:t xml:space="preserve">registry and time-series cache) and the</w:t>
      </w:r>
      <w:r>
        <w:t xml:space="preserve"> </w:t>
      </w:r>
      <w:r>
        <w:rPr>
          <w:bCs/>
          <w:b/>
        </w:rPr>
        <w:t xml:space="preserve">Model Artifact Store</w:t>
      </w:r>
      <w:r>
        <w:t xml:space="preserve"> </w:t>
      </w:r>
      <w:r>
        <w:t xml:space="preserve">(persisted AI models). Here is given the use case diagram to observe the</w:t>
      </w:r>
      <w:r>
        <w:t xml:space="preserve"> </w:t>
      </w:r>
      <w:r>
        <w:t xml:space="preserve">non-technical view of the system.</w:t>
      </w:r>
    </w:p>
    <w:bookmarkStart w:id="43" w:name="level-0"/>
    <w:p>
      <w:pPr>
        <w:pStyle w:val="Heading3"/>
      </w:pPr>
      <w:r>
        <w:t xml:space="preserve">Level: 0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0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Terra-Audit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Developer, Researcher, Auditor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Google Earth Engine, SQLite Project Store, Model Artifact Store</w:t>
      </w:r>
    </w:p>
    <w:p>
      <w:pPr>
        <w:pStyle w:val="BodyText"/>
      </w:pPr>
      <w:r>
        <w:drawing>
          <wp:inline>
            <wp:extent cx="5334000" cy="2898284"/>
            <wp:effectExtent b="0" l="0" r="0" t="0"/>
            <wp:docPr descr="Fig 1" title="" id="41" name="Picture"/>
            <a:graphic>
              <a:graphicData uri="http://schemas.openxmlformats.org/drawingml/2006/picture">
                <pic:pic>
                  <pic:nvPicPr>
                    <pic:cNvPr descr="diagrams/fig01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82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1:</w:t>
      </w:r>
      <w:r>
        <w:t xml:space="preserve"> </w:t>
      </w:r>
      <w:r>
        <w:t xml:space="preserve">Terra-Audit — AI-Assisted Digital MRV Platform</w:t>
      </w:r>
    </w:p>
    <w:bookmarkEnd w:id="43"/>
    <w:bookmarkStart w:id="47" w:name="level-1"/>
    <w:p>
      <w:pPr>
        <w:pStyle w:val="Heading3"/>
      </w:pPr>
      <w:r>
        <w:t xml:space="preserve">Level: 1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Terra-Audit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Developer, Researcher, Auditor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Google Earth Engine, SQLite Project Store, Model Artifact Store</w:t>
      </w:r>
    </w:p>
    <w:p>
      <w:pPr>
        <w:pStyle w:val="BodyText"/>
      </w:pPr>
      <w:r>
        <w:drawing>
          <wp:inline>
            <wp:extent cx="5334000" cy="3946071"/>
            <wp:effectExtent b="0" l="0" r="0" t="0"/>
            <wp:docPr descr="Fig 2" title="" id="45" name="Picture"/>
            <a:graphic>
              <a:graphicData uri="http://schemas.openxmlformats.org/drawingml/2006/picture">
                <pic:pic>
                  <pic:nvPicPr>
                    <pic:cNvPr descr="diagrams/fig02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46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2:</w:t>
      </w:r>
      <w:r>
        <w:t xml:space="preserve"> </w:t>
      </w:r>
      <w:r>
        <w:t xml:space="preserve">Level 1 of Terra-Audit</w:t>
      </w:r>
    </w:p>
    <w:bookmarkEnd w:id="47"/>
    <w:bookmarkStart w:id="51" w:name="level-1.1"/>
    <w:p>
      <w:pPr>
        <w:pStyle w:val="Heading3"/>
      </w:pPr>
      <w:r>
        <w:t xml:space="preserve">Level: 1.1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1.1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Field Management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SQLite Project Store</w:t>
      </w:r>
    </w:p>
    <w:p>
      <w:pPr>
        <w:pStyle w:val="BodyText"/>
      </w:pPr>
      <w:r>
        <w:drawing>
          <wp:inline>
            <wp:extent cx="5334000" cy="2673820"/>
            <wp:effectExtent b="0" l="0" r="0" t="0"/>
            <wp:docPr descr="Fig 3" title="" id="49" name="Picture"/>
            <a:graphic>
              <a:graphicData uri="http://schemas.openxmlformats.org/drawingml/2006/picture">
                <pic:pic>
                  <pic:nvPicPr>
                    <pic:cNvPr descr="diagrams/fig03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73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3:</w:t>
      </w:r>
      <w:r>
        <w:t xml:space="preserve"> </w:t>
      </w:r>
      <w:r>
        <w:t xml:space="preserve">Field Management</w:t>
      </w:r>
    </w:p>
    <w:bookmarkEnd w:id="51"/>
    <w:bookmarkStart w:id="55" w:name="level-1.1.1"/>
    <w:p>
      <w:pPr>
        <w:pStyle w:val="Heading3"/>
      </w:pPr>
      <w:r>
        <w:t xml:space="preserve">Level: 1.1.1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1.1.1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Geometry Input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None</w:t>
      </w:r>
    </w:p>
    <w:p>
      <w:pPr>
        <w:pStyle w:val="BodyText"/>
      </w:pPr>
      <w:r>
        <w:drawing>
          <wp:inline>
            <wp:extent cx="5334000" cy="2041071"/>
            <wp:effectExtent b="0" l="0" r="0" t="0"/>
            <wp:docPr descr="Fig 4" title="" id="53" name="Picture"/>
            <a:graphic>
              <a:graphicData uri="http://schemas.openxmlformats.org/drawingml/2006/picture">
                <pic:pic>
                  <pic:nvPicPr>
                    <pic:cNvPr descr="diagrams/fig04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410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4:</w:t>
      </w:r>
      <w:r>
        <w:t xml:space="preserve"> </w:t>
      </w:r>
      <w:r>
        <w:t xml:space="preserve">Geometry Input</w:t>
      </w:r>
    </w:p>
    <w:bookmarkEnd w:id="55"/>
    <w:bookmarkStart w:id="59" w:name="level-1.1.2"/>
    <w:p>
      <w:pPr>
        <w:pStyle w:val="Heading3"/>
      </w:pPr>
      <w:r>
        <w:t xml:space="preserve">Level: 1.1.2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1.1.2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Field Registration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SQLite Project Store</w:t>
      </w:r>
    </w:p>
    <w:p>
      <w:pPr>
        <w:pStyle w:val="BodyText"/>
      </w:pPr>
      <w:r>
        <w:drawing>
          <wp:inline>
            <wp:extent cx="5334000" cy="2469696"/>
            <wp:effectExtent b="0" l="0" r="0" t="0"/>
            <wp:docPr descr="Fig 5" title="" id="57" name="Picture"/>
            <a:graphic>
              <a:graphicData uri="http://schemas.openxmlformats.org/drawingml/2006/picture">
                <pic:pic>
                  <pic:nvPicPr>
                    <pic:cNvPr descr="diagrams/fig05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69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5:</w:t>
      </w:r>
      <w:r>
        <w:t xml:space="preserve"> </w:t>
      </w:r>
      <w:r>
        <w:t xml:space="preserve">Field Registration</w:t>
      </w:r>
    </w:p>
    <w:bookmarkEnd w:id="59"/>
    <w:bookmarkStart w:id="63" w:name="level-1.2"/>
    <w:p>
      <w:pPr>
        <w:pStyle w:val="Heading3"/>
      </w:pPr>
      <w:r>
        <w:t xml:space="preserve">Level: 1.2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1.2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Satellite Data Engine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Google Earth Engine, SQLite Project Store</w:t>
      </w:r>
    </w:p>
    <w:p>
      <w:pPr>
        <w:pStyle w:val="BodyText"/>
      </w:pPr>
      <w:r>
        <w:drawing>
          <wp:inline>
            <wp:extent cx="5334000" cy="1694089"/>
            <wp:effectExtent b="0" l="0" r="0" t="0"/>
            <wp:docPr descr="Fig 6" title="" id="61" name="Picture"/>
            <a:graphic>
              <a:graphicData uri="http://schemas.openxmlformats.org/drawingml/2006/picture">
                <pic:pic>
                  <pic:nvPicPr>
                    <pic:cNvPr descr="diagrams/fig06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940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6:</w:t>
      </w:r>
      <w:r>
        <w:t xml:space="preserve"> </w:t>
      </w:r>
      <w:r>
        <w:t xml:space="preserve">Satellite Data Engine</w:t>
      </w:r>
    </w:p>
    <w:bookmarkEnd w:id="63"/>
    <w:bookmarkStart w:id="67" w:name="level-1.3"/>
    <w:p>
      <w:pPr>
        <w:pStyle w:val="Heading3"/>
      </w:pPr>
      <w:r>
        <w:t xml:space="preserve">Level: 1.3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1.3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MRV Signal Analytics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Developer, Researcher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Model Artifact Store</w:t>
      </w:r>
    </w:p>
    <w:p>
      <w:pPr>
        <w:pStyle w:val="BodyText"/>
      </w:pPr>
      <w:r>
        <w:drawing>
          <wp:inline>
            <wp:extent cx="5334000" cy="2530928"/>
            <wp:effectExtent b="0" l="0" r="0" t="0"/>
            <wp:docPr descr="Fig 7" title="" id="65" name="Picture"/>
            <a:graphic>
              <a:graphicData uri="http://schemas.openxmlformats.org/drawingml/2006/picture">
                <pic:pic>
                  <pic:nvPicPr>
                    <pic:cNvPr descr="diagrams/fig07.png" id="66" name="Picture"/>
                    <pic:cNvPicPr>
                      <a:picLocks noChangeArrowheads="1"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309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7:</w:t>
      </w:r>
      <w:r>
        <w:t xml:space="preserve"> </w:t>
      </w:r>
      <w:r>
        <w:t xml:space="preserve">MRV Signal Analytics</w:t>
      </w:r>
    </w:p>
    <w:bookmarkEnd w:id="67"/>
    <w:bookmarkStart w:id="71" w:name="level-1.4"/>
    <w:p>
      <w:pPr>
        <w:pStyle w:val="Heading3"/>
      </w:pPr>
      <w:r>
        <w:t xml:space="preserve">Level: 1.4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1.4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Carbon Estimation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None</w:t>
      </w:r>
    </w:p>
    <w:p>
      <w:pPr>
        <w:pStyle w:val="BodyText"/>
      </w:pPr>
      <w:r>
        <w:drawing>
          <wp:inline>
            <wp:extent cx="5334000" cy="5219762"/>
            <wp:effectExtent b="0" l="0" r="0" t="0"/>
            <wp:docPr descr="Fig 8" title="" id="69" name="Picture"/>
            <a:graphic>
              <a:graphicData uri="http://schemas.openxmlformats.org/drawingml/2006/picture">
                <pic:pic>
                  <pic:nvPicPr>
                    <pic:cNvPr descr="diagrams/fig08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7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8:</w:t>
      </w:r>
      <w:r>
        <w:t xml:space="preserve"> </w:t>
      </w:r>
      <w:r>
        <w:t xml:space="preserve">Carbon Estimation</w:t>
      </w:r>
    </w:p>
    <w:bookmarkEnd w:id="71"/>
    <w:bookmarkStart w:id="75" w:name="level-1.5"/>
    <w:p>
      <w:pPr>
        <w:pStyle w:val="Heading3"/>
      </w:pPr>
      <w:r>
        <w:t xml:space="preserve">Level: 1.5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1.5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Evidence Reporting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Carbon Project Developer, Auditor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None</w:t>
      </w:r>
    </w:p>
    <w:p>
      <w:pPr>
        <w:pStyle w:val="BodyText"/>
      </w:pPr>
      <w:r>
        <w:drawing>
          <wp:inline>
            <wp:extent cx="5334000" cy="3486855"/>
            <wp:effectExtent b="0" l="0" r="0" t="0"/>
            <wp:docPr descr="Fig 9" title="" id="73" name="Picture"/>
            <a:graphic>
              <a:graphicData uri="http://schemas.openxmlformats.org/drawingml/2006/picture">
                <pic:pic>
                  <pic:nvPicPr>
                    <pic:cNvPr descr="diagrams/fig09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868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9:</w:t>
      </w:r>
      <w:r>
        <w:t xml:space="preserve"> </w:t>
      </w:r>
      <w:r>
        <w:t xml:space="preserve">Evidence Reporting</w:t>
      </w:r>
    </w:p>
    <w:bookmarkEnd w:id="75"/>
    <w:bookmarkStart w:id="79" w:name="level-1.6"/>
    <w:p>
      <w:pPr>
        <w:pStyle w:val="Heading3"/>
      </w:pPr>
      <w:r>
        <w:t xml:space="preserve">Level: 1.6</w:t>
      </w:r>
    </w:p>
    <w:p>
      <w:pPr>
        <w:pStyle w:val="FirstParagraph"/>
      </w:pPr>
      <w:r>
        <w:rPr>
          <w:bCs/>
          <w:b/>
        </w:rPr>
        <w:t xml:space="preserve">USE CASE ID:</w:t>
      </w:r>
      <w:r>
        <w:t xml:space="preserve"> </w:t>
      </w:r>
      <w:r>
        <w:t xml:space="preserve">1.6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AI Validation</w:t>
      </w:r>
    </w:p>
    <w:p>
      <w:pPr>
        <w:pStyle w:val="BodyText"/>
      </w:pPr>
      <w:r>
        <w:rPr>
          <w:bCs/>
          <w:b/>
        </w:rPr>
        <w:t xml:space="preserve">Primary Actor:</w:t>
      </w:r>
      <w:r>
        <w:t xml:space="preserve"> </w:t>
      </w:r>
      <w:r>
        <w:t xml:space="preserve">Researcher</w:t>
      </w:r>
    </w:p>
    <w:p>
      <w:pPr>
        <w:pStyle w:val="BodyText"/>
      </w:pPr>
      <w:r>
        <w:rPr>
          <w:bCs/>
          <w:b/>
        </w:rPr>
        <w:t xml:space="preserve">Secondary Actor:</w:t>
      </w:r>
      <w:r>
        <w:t xml:space="preserve"> </w:t>
      </w:r>
      <w:r>
        <w:t xml:space="preserve">SQLite Project Store, Model Artifact Store</w:t>
      </w:r>
    </w:p>
    <w:p>
      <w:pPr>
        <w:pStyle w:val="BodyText"/>
      </w:pPr>
      <w:r>
        <w:drawing>
          <wp:inline>
            <wp:extent cx="5334000" cy="2902527"/>
            <wp:effectExtent b="0" l="0" r="0" t="0"/>
            <wp:docPr descr="Fig 10" title="" id="77" name="Picture"/>
            <a:graphic>
              <a:graphicData uri="http://schemas.openxmlformats.org/drawingml/2006/picture">
                <pic:pic>
                  <pic:nvPicPr>
                    <pic:cNvPr descr="diagrams/fig10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902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10:</w:t>
      </w:r>
      <w:r>
        <w:t xml:space="preserve"> </w:t>
      </w:r>
      <w:r>
        <w:t xml:space="preserve">AI Validation</w:t>
      </w:r>
    </w:p>
    <w:bookmarkEnd w:id="79"/>
    <w:bookmarkEnd w:id="80"/>
    <w:bookmarkStart w:id="113" w:name="activity-diagram"/>
    <w:p>
      <w:pPr>
        <w:pStyle w:val="Heading2"/>
      </w:pPr>
      <w:r>
        <w:t xml:space="preserve">5.2 Activity Diagram</w:t>
      </w:r>
    </w:p>
    <w:bookmarkStart w:id="84" w:name="level-1-1"/>
    <w:p>
      <w:pPr>
        <w:pStyle w:val="Heading3"/>
      </w:pPr>
      <w:r>
        <w:t xml:space="preserve">Level: 1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Terra-Audit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</w:t>
      </w:r>
    </w:p>
    <w:p>
      <w:pPr>
        <w:pStyle w:val="BodyText"/>
      </w:pPr>
      <w:r>
        <w:drawing>
          <wp:inline>
            <wp:extent cx="5334000" cy="9691171"/>
            <wp:effectExtent b="0" l="0" r="0" t="0"/>
            <wp:docPr descr="Fig 11" title="" id="82" name="Picture"/>
            <a:graphic>
              <a:graphicData uri="http://schemas.openxmlformats.org/drawingml/2006/picture">
                <pic:pic>
                  <pic:nvPicPr>
                    <pic:cNvPr descr="diagrams/fig11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6911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11:</w:t>
      </w:r>
      <w:r>
        <w:t xml:space="preserve"> </w:t>
      </w:r>
      <w:r>
        <w:t xml:space="preserve">Terra-Audit (Use Case - 1)</w:t>
      </w:r>
    </w:p>
    <w:bookmarkEnd w:id="84"/>
    <w:bookmarkStart w:id="88" w:name="level-1.1-1"/>
    <w:p>
      <w:pPr>
        <w:pStyle w:val="Heading3"/>
      </w:pPr>
      <w:r>
        <w:t xml:space="preserve">Level: 1.1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Field Management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level-1.1</w:t>
      </w:r>
    </w:p>
    <w:p>
      <w:pPr>
        <w:pStyle w:val="BodyText"/>
      </w:pPr>
      <w:r>
        <w:drawing>
          <wp:inline>
            <wp:extent cx="5334000" cy="11855363"/>
            <wp:effectExtent b="0" l="0" r="0" t="0"/>
            <wp:docPr descr="Fig 12" title="" id="86" name="Picture"/>
            <a:graphic>
              <a:graphicData uri="http://schemas.openxmlformats.org/drawingml/2006/picture">
                <pic:pic>
                  <pic:nvPicPr>
                    <pic:cNvPr descr="diagrams/fig12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8553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12:</w:t>
      </w:r>
      <w:r>
        <w:t xml:space="preserve"> </w:t>
      </w:r>
      <w:r>
        <w:t xml:space="preserve">Field Management (Use Case - 1.1)</w:t>
      </w:r>
    </w:p>
    <w:bookmarkEnd w:id="88"/>
    <w:bookmarkStart w:id="92" w:name="level-1.1.1-1"/>
    <w:p>
      <w:pPr>
        <w:pStyle w:val="Heading3"/>
      </w:pPr>
      <w:r>
        <w:t xml:space="preserve">Level: 1.1.1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Geometry Input &amp; Registration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level-1.1.1, 1.1.2</w:t>
      </w:r>
    </w:p>
    <w:p>
      <w:pPr>
        <w:pStyle w:val="BodyText"/>
      </w:pPr>
      <w:r>
        <w:drawing>
          <wp:inline>
            <wp:extent cx="5334000" cy="9980839"/>
            <wp:effectExtent b="0" l="0" r="0" t="0"/>
            <wp:docPr descr="Fig 13" title="" id="90" name="Picture"/>
            <a:graphic>
              <a:graphicData uri="http://schemas.openxmlformats.org/drawingml/2006/picture">
                <pic:pic>
                  <pic:nvPicPr>
                    <pic:cNvPr descr="diagrams/fig13.png" id="91" name="Picture"/>
                    <pic:cNvPicPr>
                      <a:picLocks noChangeArrowheads="1" noChangeAspect="1"/>
                    </pic:cNvPicPr>
                  </pic:nvPicPr>
                  <pic:blipFill>
                    <a:blip r:embed="rId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98083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13:</w:t>
      </w:r>
      <w:r>
        <w:t xml:space="preserve"> </w:t>
      </w:r>
      <w:r>
        <w:t xml:space="preserve">Geometry Input &amp; Registration (Use Case - 1.1.1)</w:t>
      </w:r>
    </w:p>
    <w:bookmarkEnd w:id="92"/>
    <w:bookmarkStart w:id="96" w:name="level-1.2-1"/>
    <w:p>
      <w:pPr>
        <w:pStyle w:val="Heading3"/>
      </w:pPr>
      <w:r>
        <w:t xml:space="preserve">Level: 1.2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Satellite Data Engine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level-1.2</w:t>
      </w:r>
    </w:p>
    <w:p>
      <w:pPr>
        <w:pStyle w:val="BodyText"/>
      </w:pPr>
      <w:r>
        <w:drawing>
          <wp:inline>
            <wp:extent cx="5334000" cy="14315273"/>
            <wp:effectExtent b="0" l="0" r="0" t="0"/>
            <wp:docPr descr="Fig 14" title="" id="94" name="Picture"/>
            <a:graphic>
              <a:graphicData uri="http://schemas.openxmlformats.org/drawingml/2006/picture">
                <pic:pic>
                  <pic:nvPicPr>
                    <pic:cNvPr descr="diagrams/fig14.png" id="95" name="Picture"/>
                    <pic:cNvPicPr>
                      <a:picLocks noChangeArrowheads="1"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3152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14:</w:t>
      </w:r>
      <w:r>
        <w:t xml:space="preserve"> </w:t>
      </w:r>
      <w:r>
        <w:t xml:space="preserve">Satellite Data Engine (Use Case - 1.2)</w:t>
      </w:r>
    </w:p>
    <w:bookmarkEnd w:id="96"/>
    <w:bookmarkStart w:id="100" w:name="level-1.3-1"/>
    <w:p>
      <w:pPr>
        <w:pStyle w:val="Heading3"/>
      </w:pPr>
      <w:r>
        <w:t xml:space="preserve">Level: 1.3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MRV Signal Analytics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level-1.3</w:t>
      </w:r>
    </w:p>
    <w:p>
      <w:pPr>
        <w:pStyle w:val="BodyText"/>
      </w:pPr>
      <w:r>
        <w:drawing>
          <wp:inline>
            <wp:extent cx="5334000" cy="12828708"/>
            <wp:effectExtent b="0" l="0" r="0" t="0"/>
            <wp:docPr descr="Fig 15" title="" id="98" name="Picture"/>
            <a:graphic>
              <a:graphicData uri="http://schemas.openxmlformats.org/drawingml/2006/picture">
                <pic:pic>
                  <pic:nvPicPr>
                    <pic:cNvPr descr="diagrams/fig15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8287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15:</w:t>
      </w:r>
      <w:r>
        <w:t xml:space="preserve"> </w:t>
      </w:r>
      <w:r>
        <w:t xml:space="preserve">MRV Signal Analytics (Use Case - 1.3)</w:t>
      </w:r>
    </w:p>
    <w:bookmarkEnd w:id="100"/>
    <w:bookmarkStart w:id="104" w:name="level-1.4-1"/>
    <w:p>
      <w:pPr>
        <w:pStyle w:val="Heading3"/>
      </w:pPr>
      <w:r>
        <w:t xml:space="preserve">Level: 1.4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Carbon Estimation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level-1.4</w:t>
      </w:r>
    </w:p>
    <w:p>
      <w:pPr>
        <w:pStyle w:val="BodyText"/>
      </w:pPr>
      <w:r>
        <w:drawing>
          <wp:inline>
            <wp:extent cx="5334000" cy="16471392"/>
            <wp:effectExtent b="0" l="0" r="0" t="0"/>
            <wp:docPr descr="Fig 16" title="" id="102" name="Picture"/>
            <a:graphic>
              <a:graphicData uri="http://schemas.openxmlformats.org/drawingml/2006/picture">
                <pic:pic>
                  <pic:nvPicPr>
                    <pic:cNvPr descr="diagrams/fig16.png" id="103" name="Picture"/>
                    <pic:cNvPicPr>
                      <a:picLocks noChangeArrowheads="1" noChangeAspect="1"/>
                    </pic:cNvPicPr>
                  </pic:nvPicPr>
                  <pic:blipFill>
                    <a:blip r:embed="rId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471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16:</w:t>
      </w:r>
      <w:r>
        <w:t xml:space="preserve"> </w:t>
      </w:r>
      <w:r>
        <w:t xml:space="preserve">Carbon Estimation (Use Case - 1.4)</w:t>
      </w:r>
    </w:p>
    <w:bookmarkEnd w:id="104"/>
    <w:bookmarkStart w:id="108" w:name="level-1.5-1"/>
    <w:p>
      <w:pPr>
        <w:pStyle w:val="Heading3"/>
      </w:pPr>
      <w:r>
        <w:t xml:space="preserve">Level: 1.5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Evidence Reporting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level-1.5</w:t>
      </w:r>
    </w:p>
    <w:p>
      <w:pPr>
        <w:pStyle w:val="BodyText"/>
      </w:pPr>
      <w:r>
        <w:drawing>
          <wp:inline>
            <wp:extent cx="5334000" cy="4524375"/>
            <wp:effectExtent b="0" l="0" r="0" t="0"/>
            <wp:docPr descr="Fig 17" title="" id="106" name="Picture"/>
            <a:graphic>
              <a:graphicData uri="http://schemas.openxmlformats.org/drawingml/2006/picture">
                <pic:pic>
                  <pic:nvPicPr>
                    <pic:cNvPr descr="diagrams/fig17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5243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17:</w:t>
      </w:r>
      <w:r>
        <w:t xml:space="preserve"> </w:t>
      </w:r>
      <w:r>
        <w:t xml:space="preserve">Evidence Reporting (Use Case - 1.5)</w:t>
      </w:r>
    </w:p>
    <w:bookmarkEnd w:id="108"/>
    <w:bookmarkStart w:id="112" w:name="level-1.6-1"/>
    <w:p>
      <w:pPr>
        <w:pStyle w:val="Heading3"/>
      </w:pPr>
      <w:r>
        <w:t xml:space="preserve">Level: 1.6</w:t>
      </w:r>
    </w:p>
    <w:p>
      <w:pPr>
        <w:pStyle w:val="FirstParagraph"/>
      </w:pPr>
      <w:r>
        <w:rPr>
          <w:bCs/>
          <w:b/>
        </w:rPr>
        <w:t xml:space="preserve">Name:</w:t>
      </w:r>
      <w:r>
        <w:t xml:space="preserve"> </w:t>
      </w:r>
      <w:r>
        <w:t xml:space="preserve">AI Validation</w:t>
      </w:r>
    </w:p>
    <w:p>
      <w:pPr>
        <w:pStyle w:val="BodyText"/>
      </w:pPr>
      <w:r>
        <w:rPr>
          <w:bCs/>
          <w:b/>
        </w:rPr>
        <w:t xml:space="preserve">Reference:</w:t>
      </w:r>
      <w:r>
        <w:t xml:space="preserve"> </w:t>
      </w:r>
      <w:r>
        <w:t xml:space="preserve">Use case Diagram level-1.6</w:t>
      </w:r>
    </w:p>
    <w:p>
      <w:pPr>
        <w:pStyle w:val="BodyText"/>
      </w:pPr>
      <w:r>
        <w:drawing>
          <wp:inline>
            <wp:extent cx="5334000" cy="6706972"/>
            <wp:effectExtent b="0" l="0" r="0" t="0"/>
            <wp:docPr descr="Fig 18" title="" id="110" name="Picture"/>
            <a:graphic>
              <a:graphicData uri="http://schemas.openxmlformats.org/drawingml/2006/picture">
                <pic:pic>
                  <pic:nvPicPr>
                    <pic:cNvPr descr="diagrams/fig18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7069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18:</w:t>
      </w:r>
      <w:r>
        <w:t xml:space="preserve"> </w:t>
      </w:r>
      <w:r>
        <w:t xml:space="preserve">AI Validation (Use Case - 1.6)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End w:id="114"/>
    <w:bookmarkStart w:id="126" w:name="data-based-modeling"/>
    <w:p>
      <w:pPr>
        <w:pStyle w:val="Heading1"/>
      </w:pPr>
      <w:r>
        <w:t xml:space="preserve">6. Data Based Modeling</w:t>
      </w:r>
    </w:p>
    <w:p>
      <w:pPr>
        <w:pStyle w:val="FirstParagraph"/>
      </w:pPr>
      <w:r>
        <w:rPr>
          <w:bCs/>
          <w:b/>
        </w:rPr>
        <w:t xml:space="preserve">DATA MODELING CONCEPT:</w:t>
      </w:r>
      <w:r>
        <w:t xml:space="preserve"> </w:t>
      </w:r>
      <w:r>
        <w:t xml:space="preserve">If software requirements include the necessity</w:t>
      </w:r>
      <w:r>
        <w:t xml:space="preserve"> </w:t>
      </w:r>
      <w:r>
        <w:t xml:space="preserve">to create, extend or interact with a database or complex data structures</w:t>
      </w:r>
      <w:r>
        <w:t xml:space="preserve"> </w:t>
      </w:r>
      <w:r>
        <w:t xml:space="preserve">need to be constructed and manipulated, then the software team chooses</w:t>
      </w:r>
      <w:r>
        <w:t xml:space="preserve"> </w:t>
      </w:r>
      <w:r>
        <w:t xml:space="preserve">to create data models as part of overall requirements modeling. The</w:t>
      </w:r>
      <w:r>
        <w:t xml:space="preserve"> </w:t>
      </w:r>
      <w:r>
        <w:t xml:space="preserve">entity relationship diagram (ERD) defines all data objects that are</w:t>
      </w:r>
      <w:r>
        <w:t xml:space="preserve"> </w:t>
      </w:r>
      <w:r>
        <w:t xml:space="preserve">processed within the system, the relationships between the data objects</w:t>
      </w:r>
      <w:r>
        <w:t xml:space="preserve"> </w:t>
      </w:r>
      <w:r>
        <w:t xml:space="preserve">and the information about how the data objects are entered, stored,</w:t>
      </w:r>
      <w:r>
        <w:t xml:space="preserve"> </w:t>
      </w:r>
      <w:r>
        <w:t xml:space="preserve">transformed and produced within the system.</w:t>
      </w:r>
    </w:p>
    <w:p>
      <w:pPr>
        <w:pStyle w:val="BodyText"/>
      </w:pPr>
      <w:r>
        <w:rPr>
          <w:bCs/>
          <w:b/>
        </w:rPr>
        <w:t xml:space="preserve">DATA OBJECTS:</w:t>
      </w:r>
      <w:r>
        <w:t xml:space="preserve"> </w:t>
      </w:r>
      <w:r>
        <w:t xml:space="preserve">A data object is a representation of composite</w:t>
      </w:r>
      <w:r>
        <w:t xml:space="preserve"> </w:t>
      </w:r>
      <w:r>
        <w:t xml:space="preserve">information that must be understood by the software. A data object can</w:t>
      </w:r>
      <w:r>
        <w:t xml:space="preserve"> </w:t>
      </w:r>
      <w:r>
        <w:t xml:space="preserve">be an external entity, a thing, an occurrence, a role, an organizational</w:t>
      </w:r>
      <w:r>
        <w:t xml:space="preserve"> </w:t>
      </w:r>
      <w:r>
        <w:t xml:space="preserve">unit, a place or a structure.</w:t>
      </w:r>
    </w:p>
    <w:bookmarkStart w:id="115" w:name="noun-identification"/>
    <w:p>
      <w:pPr>
        <w:pStyle w:val="Heading2"/>
      </w:pPr>
      <w:r>
        <w:t xml:space="preserve">6.1 Noun Identification: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Problem/Solution space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2, 3, 4, 5, 6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(hectares)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Rice paddy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11, 12, 13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preset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15, 16, 17, 18, 19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Observation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 backscatter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 backscatter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Vegetation Index (RVI)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1, 10, 14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Smoothing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Drydown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AWD event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27, 28, 29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22, 23, 24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33, 34, 41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(predicted label)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25, 29, 36, 37, 38, 39, 50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scaling factor (SF_w)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factor (EF_c)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N₂O irrigation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14, 42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 (dry / flooded / drydown)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44, 45, 46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audit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registry (Verra)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screen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</w:t>
            </w:r>
          </w:p>
        </w:tc>
        <w:tc>
          <w:tcPr/>
          <w:p>
            <w:pPr>
              <w:pStyle w:val="Compact"/>
            </w:pPr>
          </w:p>
        </w:tc>
      </w:tr>
    </w:tbl>
    <w:bookmarkEnd w:id="115"/>
    <w:bookmarkStart w:id="116" w:name="final-data-objects"/>
    <w:p>
      <w:pPr>
        <w:pStyle w:val="Heading2"/>
      </w:pPr>
      <w:r>
        <w:t xml:space="preserve">6.2 Final Data Objects:</w:t>
      </w:r>
    </w:p>
    <w:p>
      <w:pPr>
        <w:numPr>
          <w:ilvl w:val="0"/>
          <w:numId w:val="1028"/>
        </w:numPr>
        <w:pStyle w:val="Compact"/>
      </w:pPr>
      <w:r>
        <w:t xml:space="preserve">Field</w:t>
      </w:r>
    </w:p>
    <w:p>
      <w:pPr>
        <w:numPr>
          <w:ilvl w:val="0"/>
          <w:numId w:val="1028"/>
        </w:numPr>
        <w:pStyle w:val="Compact"/>
      </w:pPr>
      <w:r>
        <w:t xml:space="preserve">MonitoringWindow</w:t>
      </w:r>
    </w:p>
    <w:p>
      <w:pPr>
        <w:numPr>
          <w:ilvl w:val="0"/>
          <w:numId w:val="1028"/>
        </w:numPr>
        <w:pStyle w:val="Compact"/>
      </w:pPr>
      <w:r>
        <w:t xml:space="preserve">TimeseriesObservation</w:t>
      </w:r>
    </w:p>
    <w:p>
      <w:pPr>
        <w:numPr>
          <w:ilvl w:val="0"/>
          <w:numId w:val="1028"/>
        </w:numPr>
        <w:pStyle w:val="Compact"/>
      </w:pPr>
      <w:r>
        <w:t xml:space="preserve">AWDAnalysisResult</w:t>
      </w:r>
    </w:p>
    <w:p>
      <w:pPr>
        <w:numPr>
          <w:ilvl w:val="0"/>
          <w:numId w:val="1028"/>
        </w:numPr>
        <w:pStyle w:val="Compact"/>
      </w:pPr>
      <w:r>
        <w:t xml:space="preserve">PhenologyResult</w:t>
      </w:r>
    </w:p>
    <w:p>
      <w:pPr>
        <w:numPr>
          <w:ilvl w:val="0"/>
          <w:numId w:val="1028"/>
        </w:numPr>
        <w:pStyle w:val="Compact"/>
      </w:pPr>
      <w:r>
        <w:t xml:space="preserve">CarbonEstimate</w:t>
      </w:r>
    </w:p>
    <w:p>
      <w:pPr>
        <w:numPr>
          <w:ilvl w:val="0"/>
          <w:numId w:val="1028"/>
        </w:numPr>
        <w:pStyle w:val="Compact"/>
      </w:pPr>
      <w:r>
        <w:t xml:space="preserve">AIDatasetRow</w:t>
      </w:r>
    </w:p>
    <w:p>
      <w:pPr>
        <w:numPr>
          <w:ilvl w:val="0"/>
          <w:numId w:val="1028"/>
        </w:numPr>
        <w:pStyle w:val="Compact"/>
      </w:pPr>
      <w:r>
        <w:t xml:space="preserve">AIModelArtifact</w:t>
      </w:r>
    </w:p>
    <w:p>
      <w:pPr>
        <w:numPr>
          <w:ilvl w:val="0"/>
          <w:numId w:val="1028"/>
        </w:numPr>
        <w:pStyle w:val="Compact"/>
      </w:pPr>
      <w:r>
        <w:t xml:space="preserve">EvidencePackage</w:t>
      </w:r>
    </w:p>
    <w:bookmarkEnd w:id="116"/>
    <w:bookmarkStart w:id="120" w:name="relations"/>
    <w:p>
      <w:pPr>
        <w:pStyle w:val="Heading2"/>
      </w:pPr>
      <w:r>
        <w:t xml:space="preserve">6.3 Relations:</w:t>
      </w:r>
    </w:p>
    <w:p>
      <w:pPr>
        <w:pStyle w:val="FirstParagraph"/>
      </w:pPr>
      <w:r>
        <w:drawing>
          <wp:inline>
            <wp:extent cx="5334000" cy="816428"/>
            <wp:effectExtent b="0" l="0" r="0" t="0"/>
            <wp:docPr descr="Fig 19" title="" id="118" name="Picture"/>
            <a:graphic>
              <a:graphicData uri="http://schemas.openxmlformats.org/drawingml/2006/picture">
                <pic:pic>
                  <pic:nvPicPr>
                    <pic:cNvPr descr="diagrams/fig19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164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19:</w:t>
      </w:r>
      <w:r>
        <w:t xml:space="preserve"> </w:t>
      </w:r>
      <w:r>
        <w:t xml:space="preserve">Entity Relation</w:t>
      </w:r>
    </w:p>
    <w:bookmarkEnd w:id="120"/>
    <w:bookmarkStart w:id="124" w:name="er-diagram"/>
    <w:p>
      <w:pPr>
        <w:pStyle w:val="Heading2"/>
      </w:pPr>
      <w:r>
        <w:t xml:space="preserve">6.4 ER DIAGRAM:</w:t>
      </w:r>
    </w:p>
    <w:p>
      <w:pPr>
        <w:pStyle w:val="FirstParagraph"/>
      </w:pPr>
      <w:r>
        <w:t xml:space="preserve">The persisted entities live in SQLite (</w:t>
      </w:r>
      <w:r>
        <w:rPr>
          <w:rStyle w:val="VerbatimChar"/>
        </w:rPr>
        <w:t xml:space="preserve">data/project_store.db</w:t>
      </w:r>
      <w:r>
        <w:t xml:space="preserve">); model</w:t>
      </w:r>
      <w:r>
        <w:t xml:space="preserve"> </w:t>
      </w:r>
      <w:r>
        <w:t xml:space="preserve">artifacts are persisted as</w:t>
      </w:r>
      <w:r>
        <w:t xml:space="preserve"> </w:t>
      </w:r>
      <w:r>
        <w:rPr>
          <w:rStyle w:val="VerbatimChar"/>
        </w:rPr>
        <w:t xml:space="preserve">joblib</w:t>
      </w:r>
      <w:r>
        <w:t xml:space="preserve"> </w:t>
      </w:r>
      <w:r>
        <w:t xml:space="preserve">files under</w:t>
      </w:r>
      <w:r>
        <w:t xml:space="preserve"> </w:t>
      </w:r>
      <w:r>
        <w:rPr>
          <w:rStyle w:val="VerbatimChar"/>
        </w:rPr>
        <w:t xml:space="preserve">data/ai_models/</w:t>
      </w:r>
      <w:r>
        <w:t xml:space="preserve">.</w:t>
      </w:r>
      <w:r>
        <w:t xml:space="preserve"> </w:t>
      </w:r>
      <w:r>
        <w:t xml:space="preserve">Analysis results, carbon estimates and evidence packages are derived</w:t>
      </w:r>
      <w:r>
        <w:t xml:space="preserve"> </w:t>
      </w:r>
      <w:r>
        <w:t xml:space="preserve">on demand and are not stored as tables.</w:t>
      </w:r>
    </w:p>
    <w:p>
      <w:pPr>
        <w:pStyle w:val="BodyText"/>
      </w:pPr>
      <w:r>
        <w:drawing>
          <wp:inline>
            <wp:extent cx="5334000" cy="9856772"/>
            <wp:effectExtent b="0" l="0" r="0" t="0"/>
            <wp:docPr descr="Fig 20" title="" id="122" name="Picture"/>
            <a:graphic>
              <a:graphicData uri="http://schemas.openxmlformats.org/drawingml/2006/picture">
                <pic:pic>
                  <pic:nvPicPr>
                    <pic:cNvPr descr="diagrams/fig20.png" id="123" name="Picture"/>
                    <pic:cNvPicPr>
                      <a:picLocks noChangeArrowheads="1" noChangeAspect="1"/>
                    </pic:cNvPicPr>
                  </pic:nvPicPr>
                  <pic:blipFill>
                    <a:blip r:embed="rId1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98567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20:</w:t>
      </w:r>
      <w:r>
        <w:t xml:space="preserve"> </w:t>
      </w:r>
      <w:r>
        <w:t xml:space="preserve">ER Diagram</w:t>
      </w:r>
    </w:p>
    <w:bookmarkEnd w:id="124"/>
    <w:bookmarkStart w:id="125" w:name="schema-diagram"/>
    <w:p>
      <w:pPr>
        <w:pStyle w:val="Heading2"/>
      </w:pPr>
      <w:r>
        <w:t xml:space="preserve">6.5 Schema Diagram: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Data 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field_id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geojson_geometry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(GeoJSON FeatureCollection)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area_ha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(hectares)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MonitoringWindow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season_label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(e.g. </w:t>
            </w:r>
            <w:r>
              <w:t xml:space="preserve">“</w:t>
            </w:r>
            <w:r>
              <w:t xml:space="preserve">Boro 2026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window_start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(ISO)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window_end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 (ISO)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TimeseriesObservation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field_id (PK, FK)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observation_date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window_start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window_end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(dB)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(VH − VV)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AWDAnalysisResult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vv_smoothed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vh_smoothed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vv_zscore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vv_diff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is_flooded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drydown_event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predicted_label (AI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confidence (AI 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(0–1)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total_awd_events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detector_used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PhenologyResult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is_sowing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sowing_date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harvest_date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season_length_days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integer (120-day fallback)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from_phenology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CarbonEstimate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sf_w_project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(1.00 / 0.71 / 0.52)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e_baseline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(kg CH₄)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e_project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(kg CH₄)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delta_e_ch4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(kg CH₄)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delta_e_co2e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(tCO₂e)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unc_deduction_pct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(0.15)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unc_tco2e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(tCO₂e)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ch4_after_unc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(tCO₂e)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pe_n2o_tco2e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(tCO₂e)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q_n_kg_per_ha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leakage_pct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(%)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leakage_de_minimis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final_issuance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 (tCO₂e, floored at 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AIDatasetRow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field_id, window_start, window_end, date (PK)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composite key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area_ha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cross_ratio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rvi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vv_smoothed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vh_smoothed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vv_zscore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vv_diff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vh_diff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number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is_flooded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drydown_event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is_sowing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is_harvest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/ 1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t xml:space="preserve">“</w:t>
            </w:r>
            <w:r>
              <w:t xml:space="preserve">dry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flooded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drydown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built_at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timestamp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AIModelArtifact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</w:t>
            </w:r>
            <w:r>
              <w:t xml:space="preserve">“</w:t>
            </w:r>
            <w:r>
              <w:t xml:space="preserve">random_forest</w:t>
            </w:r>
            <w:r>
              <w:t xml:space="preserve">”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t xml:space="preserve">“</w:t>
            </w:r>
            <w:r>
              <w:t xml:space="preserve">xgboost</w:t>
            </w:r>
            <w:r>
              <w:t xml:space="preserve">”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fitted classifier (joblib)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classes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strings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feature_names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 of strings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EvidencePackage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pdf_report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bytes (A4, 8 sections)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json_audit_record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 (all inputs + intermediates + full time-series)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csv_timeseries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50" w:name="class-based-diagram"/>
    <w:p>
      <w:pPr>
        <w:pStyle w:val="Heading1"/>
      </w:pPr>
      <w:r>
        <w:t xml:space="preserve">7. Class Based Diagram</w:t>
      </w:r>
    </w:p>
    <w:p>
      <w:pPr>
        <w:pStyle w:val="FirstParagraph"/>
      </w:pPr>
      <w:r>
        <w:rPr>
          <w:bCs/>
          <w:b/>
        </w:rPr>
        <w:t xml:space="preserve">Class-Based Modeling Concepts:</w:t>
      </w:r>
    </w:p>
    <w:p>
      <w:pPr>
        <w:pStyle w:val="BodyText"/>
      </w:pPr>
      <w:r>
        <w:t xml:space="preserve">Class-based modeling represents the objects that the system will</w:t>
      </w:r>
      <w:r>
        <w:t xml:space="preserve"> </w:t>
      </w:r>
      <w:r>
        <w:t xml:space="preserve">manipulate, the operations that will be applied to the objects,</w:t>
      </w:r>
      <w:r>
        <w:t xml:space="preserve"> </w:t>
      </w:r>
      <w:r>
        <w:t xml:space="preserve">relationships between the objects and the collaborations that occur</w:t>
      </w:r>
      <w:r>
        <w:t xml:space="preserve"> </w:t>
      </w:r>
      <w:r>
        <w:t xml:space="preserve">between the classes that are defined.</w:t>
      </w:r>
    </w:p>
    <w:bookmarkStart w:id="127" w:name="identified-nouns"/>
    <w:p>
      <w:pPr>
        <w:pStyle w:val="Heading2"/>
      </w:pPr>
      <w:r>
        <w:t xml:space="preserve">7.1 Identified Nouns: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Noun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name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geometry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(hectares)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window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preset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observation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 backscatter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 backscatter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 ratio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Radar Vegetation Index (RVI)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Smoothing 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Flooded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Drydown 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AWD event 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Sowing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Season length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 (predicted label)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estimate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scaling factor (SF_w)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Emission factor (EF_c)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deduction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N₂O irrigation penalty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Leakage 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issuance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artifact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row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audit record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</w:tr>
    </w:tbl>
    <w:bookmarkEnd w:id="127"/>
    <w:bookmarkStart w:id="128" w:name="identified-verbs"/>
    <w:p>
      <w:pPr>
        <w:pStyle w:val="Heading2"/>
      </w:pPr>
      <w:r>
        <w:t xml:space="preserve">7.2 Identified Verbs: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compute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standardize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flag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derive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 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convert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deduct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penalize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screen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download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cross-validate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overwrite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summarize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visualize</w:t>
            </w:r>
          </w:p>
        </w:tc>
      </w:tr>
    </w:tbl>
    <w:bookmarkEnd w:id="128"/>
    <w:bookmarkStart w:id="129" w:name="general-classification"/>
    <w:p>
      <w:pPr>
        <w:pStyle w:val="Heading2"/>
      </w:pPr>
      <w:r>
        <w:t xml:space="preserve">7.3 General Classification:</w:t>
      </w:r>
    </w:p>
    <w:p>
      <w:pPr>
        <w:pStyle w:val="FirstParagraph"/>
      </w:pPr>
      <w:r>
        <w:t xml:space="preserve">Candidate classes are categorized based on the seven general</w:t>
      </w:r>
      <w:r>
        <w:t xml:space="preserve"> </w:t>
      </w:r>
      <w:r>
        <w:t xml:space="preserve">classification. The analysis classes manifest themselves in one of the</w:t>
      </w:r>
      <w:r>
        <w:t xml:space="preserve"> </w:t>
      </w:r>
      <w:r>
        <w:t xml:space="preserve">following ways:</w:t>
      </w:r>
    </w:p>
    <w:p>
      <w:pPr>
        <w:numPr>
          <w:ilvl w:val="0"/>
          <w:numId w:val="1029"/>
        </w:numPr>
        <w:pStyle w:val="Compact"/>
      </w:pPr>
      <w:r>
        <w:t xml:space="preserve">External entities</w:t>
      </w:r>
    </w:p>
    <w:p>
      <w:pPr>
        <w:numPr>
          <w:ilvl w:val="0"/>
          <w:numId w:val="1029"/>
        </w:numPr>
        <w:pStyle w:val="Compact"/>
      </w:pPr>
      <w:r>
        <w:t xml:space="preserve">Things</w:t>
      </w:r>
    </w:p>
    <w:p>
      <w:pPr>
        <w:numPr>
          <w:ilvl w:val="0"/>
          <w:numId w:val="1029"/>
        </w:numPr>
        <w:pStyle w:val="Compact"/>
      </w:pPr>
      <w:r>
        <w:t xml:space="preserve">Events</w:t>
      </w:r>
    </w:p>
    <w:p>
      <w:pPr>
        <w:numPr>
          <w:ilvl w:val="0"/>
          <w:numId w:val="1029"/>
        </w:numPr>
        <w:pStyle w:val="Compact"/>
      </w:pPr>
      <w:r>
        <w:t xml:space="preserve">Roles</w:t>
      </w:r>
    </w:p>
    <w:p>
      <w:pPr>
        <w:numPr>
          <w:ilvl w:val="0"/>
          <w:numId w:val="1029"/>
        </w:numPr>
        <w:pStyle w:val="Compact"/>
      </w:pPr>
      <w:r>
        <w:t xml:space="preserve">Organizational units</w:t>
      </w:r>
    </w:p>
    <w:p>
      <w:pPr>
        <w:numPr>
          <w:ilvl w:val="0"/>
          <w:numId w:val="1029"/>
        </w:numPr>
        <w:pStyle w:val="Compact"/>
      </w:pPr>
      <w:r>
        <w:t xml:space="preserve">Places</w:t>
      </w:r>
    </w:p>
    <w:p>
      <w:pPr>
        <w:numPr>
          <w:ilvl w:val="0"/>
          <w:numId w:val="1029"/>
        </w:numPr>
        <w:pStyle w:val="Compact"/>
      </w:pPr>
      <w:r>
        <w:t xml:space="preserve">Structures</w:t>
      </w:r>
    </w:p>
    <w:p>
      <w:pPr>
        <w:pStyle w:val="FirstParagraph"/>
      </w:pPr>
      <w:r>
        <w:t xml:space="preserve">A candidate class is selected for special classification if it fulfills</w:t>
      </w:r>
      <w:r>
        <w:t xml:space="preserve"> </w:t>
      </w:r>
      <w:r>
        <w:t xml:space="preserve">two or more characteristics.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Space Nouns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Classifications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6,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Boundary geometry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Area (hectares)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 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Satellite 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VV backscatter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VH backscatter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Cross ratio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RVI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Time-series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Smoothing filter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Z-score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Flooded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Drydown 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AWD event 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Phenology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Sowing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Harvest 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Threshold gate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model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Water scaling 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Uncertainty deduction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N₂O irrigation penalty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issuance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 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Label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7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PDF report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audit record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Earth Engine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 project 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Interactive map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2, 6</w:t>
            </w:r>
          </w:p>
        </w:tc>
      </w:tr>
    </w:tbl>
    <w:bookmarkEnd w:id="129"/>
    <w:bookmarkStart w:id="130" w:name="selection-criteria"/>
    <w:p>
      <w:pPr>
        <w:pStyle w:val="Heading2"/>
      </w:pPr>
      <w:r>
        <w:t xml:space="preserve">7.4 Selection Criteria:</w:t>
      </w:r>
    </w:p>
    <w:p>
      <w:pPr>
        <w:pStyle w:val="FirstParagraph"/>
      </w:pPr>
      <w:r>
        <w:t xml:space="preserve">The candidate classes are then selected as classes by six Selection</w:t>
      </w:r>
      <w:r>
        <w:t xml:space="preserve"> </w:t>
      </w:r>
      <w:r>
        <w:t xml:space="preserve">Criteria. A candidate class generally becomes a class when it fulfills</w:t>
      </w:r>
      <w:r>
        <w:t xml:space="preserve"> </w:t>
      </w:r>
      <w:r>
        <w:t xml:space="preserve">around three characteristics.</w:t>
      </w:r>
    </w:p>
    <w:p>
      <w:pPr>
        <w:numPr>
          <w:ilvl w:val="0"/>
          <w:numId w:val="1030"/>
        </w:numPr>
        <w:pStyle w:val="Compact"/>
      </w:pPr>
      <w:r>
        <w:t xml:space="preserve">Retain information</w:t>
      </w:r>
    </w:p>
    <w:p>
      <w:pPr>
        <w:numPr>
          <w:ilvl w:val="0"/>
          <w:numId w:val="1030"/>
        </w:numPr>
        <w:pStyle w:val="Compact"/>
      </w:pPr>
      <w:r>
        <w:t xml:space="preserve">Needed services</w:t>
      </w:r>
    </w:p>
    <w:p>
      <w:pPr>
        <w:numPr>
          <w:ilvl w:val="0"/>
          <w:numId w:val="1030"/>
        </w:numPr>
        <w:pStyle w:val="Compact"/>
      </w:pPr>
      <w:r>
        <w:t xml:space="preserve">Multiple attributes</w:t>
      </w:r>
    </w:p>
    <w:p>
      <w:pPr>
        <w:numPr>
          <w:ilvl w:val="0"/>
          <w:numId w:val="1030"/>
        </w:numPr>
        <w:pStyle w:val="Compact"/>
      </w:pPr>
      <w:r>
        <w:t xml:space="preserve">Common attributes</w:t>
      </w:r>
    </w:p>
    <w:p>
      <w:pPr>
        <w:numPr>
          <w:ilvl w:val="0"/>
          <w:numId w:val="1030"/>
        </w:numPr>
        <w:pStyle w:val="Compact"/>
      </w:pPr>
      <w:r>
        <w:t xml:space="preserve">Common operations</w:t>
      </w:r>
    </w:p>
    <w:p>
      <w:pPr>
        <w:numPr>
          <w:ilvl w:val="0"/>
          <w:numId w:val="1030"/>
        </w:numPr>
        <w:pStyle w:val="Compact"/>
      </w:pPr>
      <w:r>
        <w:t xml:space="preserve">Essential requirements</w:t>
      </w:r>
    </w:p>
    <w:p>
      <w:pPr>
        <w:pStyle w:val="FirstParagraph"/>
      </w:pPr>
      <w:r>
        <w:t xml:space="preserve">Potential general classified nouns to become a class after selection</w:t>
      </w:r>
      <w:r>
        <w:t xml:space="preserve"> </w:t>
      </w:r>
      <w:r>
        <w:t xml:space="preserve">criteria: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Solution Space Nouns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Selection Criteria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TimeseriesObservation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MonitoringWindow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3, 4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CarbonEstimate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AIDatasetRow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AIModelArtifact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1–5 (selected)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 2, 3 (selected)</w:t>
            </w:r>
          </w:p>
        </w:tc>
      </w:tr>
    </w:tbl>
    <w:p>
      <w:pPr>
        <w:pStyle w:val="BodyText"/>
      </w:pPr>
      <w:r>
        <w:t xml:space="preserve">Additional classes required: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Additional classes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SpatialDataEngine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AdaptiveAWDGate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CarbonAssetEngine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GeoUtils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ProjectStore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ReportGenerator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DatasetBuilder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FeatureEngineer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ModelRegistry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AWDPredictor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ModelEvaluator</w:t>
            </w:r>
          </w:p>
        </w:tc>
      </w:tr>
    </w:tbl>
    <w:bookmarkEnd w:id="130"/>
    <w:bookmarkStart w:id="142" w:name="class-card"/>
    <w:p>
      <w:pPr>
        <w:pStyle w:val="Heading2"/>
      </w:pPr>
      <w:r>
        <w:t xml:space="preserve">7.5 Class Card:</w:t>
      </w:r>
    </w:p>
    <w:bookmarkStart w:id="131" w:name="spatialdataengine"/>
    <w:p>
      <w:pPr>
        <w:pStyle w:val="Heading3"/>
      </w:pPr>
      <w:r>
        <w:t xml:space="preserve">SpatialDataEngine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(reads</w:t>
            </w:r>
            <w:r>
              <w:t xml:space="preserve"> </w:t>
            </w:r>
            <w:r>
              <w:rPr>
                <w:rStyle w:val="VerbatimChar"/>
              </w:rPr>
              <w:t xml:space="preserve">EE_PROJECT</w:t>
            </w:r>
            <w:r>
              <w:t xml:space="preserve"> </w:t>
            </w:r>
            <w:r>
              <w:t xml:space="preserve">from environment)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+extract_clean_timeseries(geojson_geometry, start_date, end_date)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Initialize the Earth Engine session; Fetch Sentinel-1 VV/VH backscatter (DESCENDING pass only); Compute Cross Ratio and RVI per observation; Apply Savitzky-Golay smoothing (window 5, polyorder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Google Earth Engine</w:t>
            </w:r>
          </w:p>
        </w:tc>
      </w:tr>
    </w:tbl>
    <w:bookmarkEnd w:id="131"/>
    <w:bookmarkStart w:id="132" w:name="adaptiveawdgate"/>
    <w:p>
      <w:pPr>
        <w:pStyle w:val="Heading3"/>
      </w:pPr>
      <w:r>
        <w:t xml:space="preserve">AdaptiveAWDGate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−z_flood_threshold = −0.8; −dynamic_delta_sigma = 1.2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+analyze_irrigation_behavior(df); +extract_phenology(df)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Standardize VV into z-scores and flag flooded states; Detect AWD drydown events (sharp VV jump after flooding); Derive sowing (VH minimum) and harvest (sharpest post-peak VH drop)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SpatialDataEngine (input), DatasetBuilder, Streamlit UI</w:t>
            </w:r>
          </w:p>
        </w:tc>
      </w:tr>
    </w:tbl>
    <w:bookmarkEnd w:id="132"/>
    <w:bookmarkStart w:id="133" w:name="carbonassetengine"/>
    <w:p>
      <w:pPr>
        <w:pStyle w:val="Heading3"/>
      </w:pPr>
      <w:r>
        <w:t xml:space="preserve">CarbonAssetEngine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−ef_c = 1.4; −gwp_ch4 = 28; SF_CONTINUOUS_FLOODING = 1.00; SF_SINGLE_AERATION = 0.71; SF_TRUE_AWD = 0.52; UNC_QA3_DEFAULT = 0.15; CF_N2O = 0.00314; GWP_N2O = 265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+calculate_credits(awd_events, season_length_days, area_ha, q_n_kg_per_ha); −_water_scaling_factor(awd_events); −_n2o_irrigation_penalty(q_n_kg_per_ha, area_ha)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Implement the VM0051 v1.0 QA3 credit calculation; Baseline vs project CH₄, CO₂e conversion, uncertainty deduction; N₂O penalty, leakage screen, final issuance floored at 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UI, ReportGenerator (output shape)</w:t>
            </w:r>
          </w:p>
        </w:tc>
      </w:tr>
    </w:tbl>
    <w:bookmarkEnd w:id="133"/>
    <w:bookmarkStart w:id="134" w:name="geoutils"/>
    <w:p>
      <w:pPr>
        <w:pStyle w:val="Heading3"/>
      </w:pPr>
      <w:r>
        <w:t xml:space="preserve">GeoUtils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+compute_area_ha(geojson_feature); +parse_geojson_upload(content); +parse_kml_upload(content); +parse_coordinate_text(text)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Parse user-supplied boundaries (GeoJSON / KML / coordinate text); Return (feature, error) instead of raising on bad input; Compute area via Shoelace formula with spherical correction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UI</w:t>
            </w:r>
          </w:p>
        </w:tc>
      </w:tr>
    </w:tbl>
    <w:bookmarkEnd w:id="134"/>
    <w:bookmarkStart w:id="135" w:name="projectstore"/>
    <w:p>
      <w:pPr>
        <w:pStyle w:val="Heading3"/>
      </w:pPr>
      <w:r>
        <w:t xml:space="preserve">ProjectStore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−DB_PATH = data/project_store.db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+get_db_connection(); +initialize_database(); +check_cache(field_id, window_start, window_end); +save_cache(field_id, df, window_start, window_end)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Own the SQLite schema (fields, timeseries_cache) and migrations; Serve cached time-series before any live GEE query; Persist newly fetched observations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Streamlit UI, DatasetBuilder</w:t>
            </w:r>
          </w:p>
        </w:tc>
      </w:tr>
    </w:tbl>
    <w:bookmarkEnd w:id="135"/>
    <w:bookmarkStart w:id="136" w:name="reportgenerator"/>
    <w:p>
      <w:pPr>
        <w:pStyle w:val="Heading3"/>
      </w:pPr>
      <w:r>
        <w:t xml:space="preserve">ReportGenerator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−_PDF (A4 template with header/footer)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+generate_pdf(field_info, window, signal, carbon); +generate_audit_json(field_info, window, signal, carbon, df); +generate_timeseries_csv(df)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Produce the 8-section auditor-facing PDF report; Emit the machine-readable JSON audit record with full time-series; Emit the raw CSV export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CarbonAssetEngine (input shape), Streamlit UI</w:t>
            </w:r>
          </w:p>
        </w:tc>
      </w:tr>
    </w:tbl>
    <w:bookmarkEnd w:id="136"/>
    <w:bookmarkStart w:id="137" w:name="datasetbuilder"/>
    <w:p>
      <w:pPr>
        <w:pStyle w:val="Heading3"/>
      </w:pPr>
      <w:r>
        <w:t xml:space="preserve">DatasetBuilder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−DATASET_TABLE =</w:t>
            </w:r>
            <w:r>
              <w:t xml:space="preserve"> </w:t>
            </w:r>
            <w:r>
              <w:t xml:space="preserve">“</w:t>
            </w:r>
            <w:r>
              <w:t xml:space="preserve">ai_dataset_rows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+build_dataset(gate); +save_dataset(df); +load_dataset()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Replay the threshold gate over every cached field-window series; Label each observation dry / flooded / drydown; Persist and reload the labeled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AdaptiveAWDGate, ProjectStore</w:t>
            </w:r>
          </w:p>
        </w:tc>
      </w:tr>
    </w:tbl>
    <w:bookmarkEnd w:id="137"/>
    <w:bookmarkStart w:id="138" w:name="featureengineer"/>
    <w:p>
      <w:pPr>
        <w:pStyle w:val="Heading3"/>
      </w:pPr>
      <w:r>
        <w:t xml:space="preserve">FeatureEngineer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−LABEL_CLASSES = [dry, flooded, drydown]; −base features: vv, vh, cross_ratio, rvi, vv_smoothed, vh_smoothed, vv_diff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+build_features(df, include_area_ha); +encode_labels(y)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Build leakage-safe feature matrix (excludes the gate’s own flags); Add days-since-window-start / days-since-sowing and district one-hots; Encode labels in a fixed class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ModelRegistry, AWDPredictor</w:t>
            </w:r>
          </w:p>
        </w:tc>
      </w:tr>
    </w:tbl>
    <w:bookmarkEnd w:id="138"/>
    <w:bookmarkStart w:id="139" w:name="modelregistry"/>
    <w:p>
      <w:pPr>
        <w:pStyle w:val="Heading3"/>
      </w:pPr>
      <w:r>
        <w:t xml:space="preserve">ModelRegistry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−MODEL_DIR = data/ai_models; −MODEL_REGISTRY: random_forest (200 trees, balanced), xgboost (200 rounds, depth 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+train_and_evaluate(model_name, X, y, k); +save_model(result); +load_model(model_name)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 classifiers with stratified k-fold cross-validation (plain k-fold fallback for tiny classes); Persist and reload model bundles via joblib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FeatureEngineer, AWDPredictor, ModelEvaluator</w:t>
            </w:r>
          </w:p>
        </w:tc>
      </w:tr>
    </w:tbl>
    <w:bookmarkEnd w:id="139"/>
    <w:bookmarkStart w:id="140" w:name="awdpredictor"/>
    <w:p>
      <w:pPr>
        <w:pStyle w:val="Heading3"/>
      </w:pPr>
      <w:r>
        <w:t xml:space="preserve">AWDPredictor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+predict_awd_states(df, model_name, field_id, district, area_ha, window_start, window_end)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Load the selected model and align features to its training columns; Overwrite is_flooded / drydown_event with model output; Attach predicted_label and confidence; raise FileNotFoundError if untrained (UI falls back to the gate)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ModelRegistry, FeatureEngineer, Streamlit UI</w:t>
            </w:r>
          </w:p>
        </w:tc>
      </w:tr>
    </w:tbl>
    <w:bookmarkEnd w:id="140"/>
    <w:bookmarkStart w:id="141" w:name="modelevaluator"/>
    <w:p>
      <w:pPr>
        <w:pStyle w:val="Heading3"/>
      </w:pPr>
      <w:r>
        <w:t xml:space="preserve">ModelEvaluator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Attribute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Method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+summarize_fold_predictions(result); +feature_importance(result); +roc_curve_data(result); +summarize(result)</w:t>
            </w:r>
          </w:p>
        </w:tc>
      </w:tr>
    </w:tbl>
    <w:p/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Responsibilities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Collaborator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 per-class precision / recall / F1 and confusion matrix from out-of-fold predictions; Report threshold-agreement score (explicitly not ground-truth accuracy); Provide feature importance and one-vs-rest ROC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ModelRegistry, Streamlit UI</w:t>
            </w:r>
          </w:p>
        </w:tc>
      </w:tr>
    </w:tbl>
    <w:bookmarkEnd w:id="141"/>
    <w:bookmarkEnd w:id="142"/>
    <w:bookmarkStart w:id="149" w:name="crc-diagram"/>
    <w:p>
      <w:pPr>
        <w:pStyle w:val="Heading2"/>
      </w:pPr>
      <w:r>
        <w:t xml:space="preserve">7.8 CRC Diagram:</w:t>
      </w:r>
    </w:p>
    <w:p>
      <w:pPr>
        <w:pStyle w:val="FirstParagraph"/>
      </w:pPr>
      <w:r>
        <w:rPr>
          <w:bCs/>
          <w:b/>
        </w:rPr>
        <w:t xml:space="preserve">Diagram Id: 1</w:t>
      </w:r>
    </w:p>
    <w:p>
      <w:pPr>
        <w:pStyle w:val="BodyText"/>
      </w:pPr>
      <w:r>
        <w:rPr>
          <w:bCs/>
          <w:b/>
        </w:rPr>
        <w:t xml:space="preserve">Name: Carbon Project Developer</w:t>
      </w:r>
    </w:p>
    <w:p>
      <w:pPr>
        <w:pStyle w:val="BodyText"/>
      </w:pPr>
      <w:r>
        <w:drawing>
          <wp:inline>
            <wp:extent cx="5334000" cy="4641681"/>
            <wp:effectExtent b="0" l="0" r="0" t="0"/>
            <wp:docPr descr="Fig 21" title="" id="144" name="Picture"/>
            <a:graphic>
              <a:graphicData uri="http://schemas.openxmlformats.org/drawingml/2006/picture">
                <pic:pic>
                  <pic:nvPicPr>
                    <pic:cNvPr descr="diagrams/fig21.png" id="145" name="Picture"/>
                    <pic:cNvPicPr>
                      <a:picLocks noChangeArrowheads="1" noChangeAspect="1"/>
                    </pic:cNvPicPr>
                  </pic:nvPicPr>
                  <pic:blipFill>
                    <a:blip r:embed="rId1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416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21:</w:t>
      </w:r>
      <w:r>
        <w:t xml:space="preserve"> </w:t>
      </w:r>
      <w:r>
        <w:t xml:space="preserve">CRC (Carbon Project Developer)</w:t>
      </w:r>
    </w:p>
    <w:p>
      <w:pPr>
        <w:pStyle w:val="BodyText"/>
      </w:pPr>
      <w:r>
        <w:rPr>
          <w:bCs/>
          <w:b/>
        </w:rPr>
        <w:t xml:space="preserve">Diagram Id: 2</w:t>
      </w:r>
    </w:p>
    <w:p>
      <w:pPr>
        <w:pStyle w:val="BodyText"/>
      </w:pPr>
      <w:r>
        <w:rPr>
          <w:bCs/>
          <w:b/>
        </w:rPr>
        <w:t xml:space="preserve">Name: Researcher</w:t>
      </w:r>
    </w:p>
    <w:p>
      <w:pPr>
        <w:pStyle w:val="BodyText"/>
      </w:pPr>
      <w:r>
        <w:drawing>
          <wp:inline>
            <wp:extent cx="5334000" cy="5184648"/>
            <wp:effectExtent b="0" l="0" r="0" t="0"/>
            <wp:docPr descr="Fig 22" title="" id="147" name="Picture"/>
            <a:graphic>
              <a:graphicData uri="http://schemas.openxmlformats.org/drawingml/2006/picture">
                <pic:pic>
                  <pic:nvPicPr>
                    <pic:cNvPr descr="diagrams/fig22.png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1846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22:</w:t>
      </w:r>
      <w:r>
        <w:t xml:space="preserve"> </w:t>
      </w:r>
      <w:r>
        <w:t xml:space="preserve">CRC (Researcher)</w:t>
      </w:r>
    </w:p>
    <w:p>
      <w:r>
        <w:pict>
          <v:rect style="width:0;height:1.5pt" o:hralign="center" o:hrstd="t" o:hr="t"/>
        </w:pict>
      </w:r>
    </w:p>
    <w:bookmarkEnd w:id="149"/>
    <w:bookmarkEnd w:id="150"/>
    <w:bookmarkStart w:id="175" w:name="behavioral-diagram"/>
    <w:p>
      <w:pPr>
        <w:pStyle w:val="Heading1"/>
      </w:pPr>
      <w:r>
        <w:t xml:space="preserve">8. Behavioral Diagram</w:t>
      </w:r>
    </w:p>
    <w:bookmarkStart w:id="151" w:name="event-table"/>
    <w:p>
      <w:pPr>
        <w:pStyle w:val="Heading2"/>
      </w:pPr>
      <w:r>
        <w:t xml:space="preserve">8.1 Event Table: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Associated Methods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Draw field boundary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(Leaflet Draw → pending geometry)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 boundary 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+parse_geojson_upload(); +parse_kml_upload()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Paste GPS coordinates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+parse_coordinate_text()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Register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+compute_area_ha(); INSERT INTO fields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 FROM fields, timeseries_cache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Run analytics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+check_cache(); +extract_clean_timeseries(); +save_cache()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Detect AWD events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+analyze_irrigation_behavior()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Extract phenology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+extract_phenology()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 prediction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 /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+predict_awd_states(); +load_model()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 fallback (untrained)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FileNotFoundError → threshold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Calculate carbon credits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+calculate_credits()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 evidence package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Carbon Project Developer / Auditor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+generate_pdf(); +generate_audit_json(); +generate_timeseries_csv()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labeled dataset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+build_dataset(); +save_dataset()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 AI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+build_features(); +train_and_evaluate(); +save_model()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Evaluate AI models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+summarize_fold_predictions(); +feature_importance(); +roc_curve_data()</w:t>
            </w:r>
          </w:p>
        </w:tc>
      </w:tr>
    </w:tbl>
    <w:bookmarkEnd w:id="151"/>
    <w:bookmarkStart w:id="170" w:name="state-transition-diagram"/>
    <w:p>
      <w:pPr>
        <w:pStyle w:val="Heading2"/>
      </w:pPr>
      <w:r>
        <w:t xml:space="preserve">8.2 State Transition Diagram</w:t>
      </w:r>
    </w:p>
    <w:p>
      <w:pPr>
        <w:pStyle w:val="FirstParagraph"/>
      </w:pPr>
      <w:r>
        <w:t xml:space="preserve">A UML state diagram, which depicts the active states for each class and</w:t>
      </w:r>
      <w:r>
        <w:t xml:space="preserve"> </w:t>
      </w:r>
      <w:r>
        <w:t xml:space="preserve">the occasions (triggers) that induce changes between these active</w:t>
      </w:r>
      <w:r>
        <w:t xml:space="preserve"> </w:t>
      </w:r>
      <w:r>
        <w:t xml:space="preserve">states, is part of a behavioral model. Here we’ve listed the most</w:t>
      </w:r>
      <w:r>
        <w:t xml:space="preserve"> </w:t>
      </w:r>
      <w:r>
        <w:t xml:space="preserve">important events that trigger the change of states.</w:t>
      </w:r>
    </w:p>
    <w:p>
      <w:pPr>
        <w:pStyle w:val="BodyText"/>
      </w:pPr>
      <w:r>
        <w:rPr>
          <w:bCs/>
          <w:b/>
        </w:rPr>
        <w:t xml:space="preserve">Diagram ID: 1</w:t>
      </w:r>
    </w:p>
    <w:p>
      <w:pPr>
        <w:pStyle w:val="BodyText"/>
      </w:pPr>
      <w:r>
        <w:rPr>
          <w:bCs/>
          <w:b/>
        </w:rPr>
        <w:t xml:space="preserve">Class Name: Field</w:t>
      </w:r>
    </w:p>
    <w:p>
      <w:pPr>
        <w:pStyle w:val="BodyText"/>
      </w:pPr>
      <w:r>
        <w:drawing>
          <wp:inline>
            <wp:extent cx="5334000" cy="5752352"/>
            <wp:effectExtent b="0" l="0" r="0" t="0"/>
            <wp:docPr descr="Fig 23" title="" id="153" name="Picture"/>
            <a:graphic>
              <a:graphicData uri="http://schemas.openxmlformats.org/drawingml/2006/picture">
                <pic:pic>
                  <pic:nvPicPr>
                    <pic:cNvPr descr="diagrams/fig23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75235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23:</w:t>
      </w:r>
      <w:r>
        <w:t xml:space="preserve"> </w:t>
      </w:r>
      <w:r>
        <w:t xml:space="preserve">Field State Transition</w:t>
      </w:r>
    </w:p>
    <w:p>
      <w:pPr>
        <w:pStyle w:val="BodyText"/>
      </w:pPr>
      <w:r>
        <w:rPr>
          <w:bCs/>
          <w:b/>
        </w:rPr>
        <w:t xml:space="preserve">Diagram ID: 2</w:t>
      </w:r>
    </w:p>
    <w:p>
      <w:pPr>
        <w:pStyle w:val="BodyText"/>
      </w:pPr>
      <w:r>
        <w:rPr>
          <w:bCs/>
          <w:b/>
        </w:rPr>
        <w:t xml:space="preserve">Class Name: ProjectStore (Time-series Cache)</w:t>
      </w:r>
    </w:p>
    <w:p>
      <w:pPr>
        <w:pStyle w:val="BodyText"/>
      </w:pPr>
      <w:r>
        <w:drawing>
          <wp:inline>
            <wp:extent cx="5334000" cy="7738280"/>
            <wp:effectExtent b="0" l="0" r="0" t="0"/>
            <wp:docPr descr="Fig 24" title="" id="156" name="Picture"/>
            <a:graphic>
              <a:graphicData uri="http://schemas.openxmlformats.org/drawingml/2006/picture">
                <pic:pic>
                  <pic:nvPicPr>
                    <pic:cNvPr descr="diagrams/fig24.png" id="157" name="Picture"/>
                    <pic:cNvPicPr>
                      <a:picLocks noChangeArrowheads="1" noChangeAspect="1"/>
                    </pic:cNvPicPr>
                  </pic:nvPicPr>
                  <pic:blipFill>
                    <a:blip r:embed="rId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7382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24:</w:t>
      </w:r>
      <w:r>
        <w:t xml:space="preserve"> </w:t>
      </w:r>
      <w:r>
        <w:t xml:space="preserve">ProjectStore State Transition</w:t>
      </w:r>
    </w:p>
    <w:p>
      <w:pPr>
        <w:pStyle w:val="BodyText"/>
      </w:pPr>
      <w:r>
        <w:rPr>
          <w:bCs/>
          <w:b/>
        </w:rPr>
        <w:t xml:space="preserve">Diagram ID: 3</w:t>
      </w:r>
    </w:p>
    <w:p>
      <w:pPr>
        <w:pStyle w:val="BodyText"/>
      </w:pPr>
      <w:r>
        <w:rPr>
          <w:bCs/>
          <w:b/>
        </w:rPr>
        <w:t xml:space="preserve">Class Name: AdaptiveAWDGate (per observation)</w:t>
      </w:r>
    </w:p>
    <w:p>
      <w:pPr>
        <w:pStyle w:val="BodyText"/>
      </w:pPr>
      <w:r>
        <w:drawing>
          <wp:inline>
            <wp:extent cx="5334000" cy="3992450"/>
            <wp:effectExtent b="0" l="0" r="0" t="0"/>
            <wp:docPr descr="Fig 25" title="" id="159" name="Picture"/>
            <a:graphic>
              <a:graphicData uri="http://schemas.openxmlformats.org/drawingml/2006/picture">
                <pic:pic>
                  <pic:nvPicPr>
                    <pic:cNvPr descr="diagrams/fig25.png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9924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25:</w:t>
      </w:r>
      <w:r>
        <w:t xml:space="preserve"> </w:t>
      </w:r>
      <w:r>
        <w:t xml:space="preserve">AdaptiveAWDGate State Transition</w:t>
      </w:r>
    </w:p>
    <w:p>
      <w:pPr>
        <w:pStyle w:val="BodyText"/>
      </w:pPr>
      <w:r>
        <w:rPr>
          <w:bCs/>
          <w:b/>
        </w:rPr>
        <w:t xml:space="preserve">Diagram ID: 4</w:t>
      </w:r>
    </w:p>
    <w:p>
      <w:pPr>
        <w:pStyle w:val="BodyText"/>
      </w:pPr>
      <w:r>
        <w:rPr>
          <w:bCs/>
          <w:b/>
        </w:rPr>
        <w:t xml:space="preserve">Class Name: AIModelArtifact</w:t>
      </w:r>
    </w:p>
    <w:p>
      <w:pPr>
        <w:pStyle w:val="BodyText"/>
      </w:pPr>
      <w:r>
        <w:drawing>
          <wp:inline>
            <wp:extent cx="5334000" cy="8218311"/>
            <wp:effectExtent b="0" l="0" r="0" t="0"/>
            <wp:docPr descr="Fig 26" title="" id="162" name="Picture"/>
            <a:graphic>
              <a:graphicData uri="http://schemas.openxmlformats.org/drawingml/2006/picture">
                <pic:pic>
                  <pic:nvPicPr>
                    <pic:cNvPr descr="diagrams/fig26.png" id="163" name="Picture"/>
                    <pic:cNvPicPr>
                      <a:picLocks noChangeArrowheads="1" noChangeAspect="1"/>
                    </pic:cNvPicPr>
                  </pic:nvPicPr>
                  <pic:blipFill>
                    <a:blip r:embed="rId1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82183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26:</w:t>
      </w:r>
      <w:r>
        <w:t xml:space="preserve"> </w:t>
      </w:r>
      <w:r>
        <w:t xml:space="preserve">AIModelArtifact State Transition</w:t>
      </w:r>
    </w:p>
    <w:p>
      <w:pPr>
        <w:pStyle w:val="BodyText"/>
      </w:pPr>
      <w:r>
        <w:rPr>
          <w:bCs/>
          <w:b/>
        </w:rPr>
        <w:t xml:space="preserve">Diagram ID: 5</w:t>
      </w:r>
    </w:p>
    <w:p>
      <w:pPr>
        <w:pStyle w:val="BodyText"/>
      </w:pPr>
      <w:r>
        <w:rPr>
          <w:bCs/>
          <w:b/>
        </w:rPr>
        <w:t xml:space="preserve">Class Name: CarbonEstimate</w:t>
      </w:r>
    </w:p>
    <w:p>
      <w:pPr>
        <w:pStyle w:val="BodyText"/>
      </w:pPr>
      <w:r>
        <w:drawing>
          <wp:inline>
            <wp:extent cx="5334000" cy="23212777"/>
            <wp:effectExtent b="0" l="0" r="0" t="0"/>
            <wp:docPr descr="Fig 27" title="" id="165" name="Picture"/>
            <a:graphic>
              <a:graphicData uri="http://schemas.openxmlformats.org/drawingml/2006/picture">
                <pic:pic>
                  <pic:nvPicPr>
                    <pic:cNvPr descr="diagrams/fig27.png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2127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27:</w:t>
      </w:r>
      <w:r>
        <w:t xml:space="preserve"> </w:t>
      </w:r>
      <w:r>
        <w:t xml:space="preserve">CarbonEstimate State Transition</w:t>
      </w:r>
    </w:p>
    <w:p>
      <w:pPr>
        <w:pStyle w:val="BodyText"/>
      </w:pPr>
      <w:r>
        <w:rPr>
          <w:bCs/>
          <w:b/>
        </w:rPr>
        <w:t xml:space="preserve">Diagram ID: 6</w:t>
      </w:r>
    </w:p>
    <w:p>
      <w:pPr>
        <w:pStyle w:val="BodyText"/>
      </w:pPr>
      <w:r>
        <w:rPr>
          <w:bCs/>
          <w:b/>
        </w:rPr>
        <w:t xml:space="preserve">Class Name: EvidencePackage</w:t>
      </w:r>
    </w:p>
    <w:p>
      <w:pPr>
        <w:pStyle w:val="BodyText"/>
      </w:pPr>
      <w:r>
        <w:drawing>
          <wp:inline>
            <wp:extent cx="5334000" cy="14767277"/>
            <wp:effectExtent b="0" l="0" r="0" t="0"/>
            <wp:docPr descr="Fig 28" title="" id="168" name="Picture"/>
            <a:graphic>
              <a:graphicData uri="http://schemas.openxmlformats.org/drawingml/2006/picture">
                <pic:pic>
                  <pic:nvPicPr>
                    <pic:cNvPr descr="diagrams/fig28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47672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28:</w:t>
      </w:r>
      <w:r>
        <w:t xml:space="preserve"> </w:t>
      </w:r>
      <w:r>
        <w:t xml:space="preserve">EvidencePackage State Transition</w:t>
      </w:r>
    </w:p>
    <w:bookmarkEnd w:id="170"/>
    <w:bookmarkStart w:id="174" w:name="sequence-diagram"/>
    <w:p>
      <w:pPr>
        <w:pStyle w:val="Heading2"/>
      </w:pPr>
      <w:r>
        <w:t xml:space="preserve">8.3 Sequence Diagram</w:t>
      </w:r>
    </w:p>
    <w:p>
      <w:pPr>
        <w:pStyle w:val="FirstParagraph"/>
      </w:pPr>
      <w:r>
        <w:drawing>
          <wp:inline>
            <wp:extent cx="5334000" cy="3721553"/>
            <wp:effectExtent b="0" l="0" r="0" t="0"/>
            <wp:docPr descr="Fig 29" title="" id="172" name="Picture"/>
            <a:graphic>
              <a:graphicData uri="http://schemas.openxmlformats.org/drawingml/2006/picture">
                <pic:pic>
                  <pic:nvPicPr>
                    <pic:cNvPr descr="diagrams/fig29.png" id="173" name="Picture"/>
                    <pic:cNvPicPr>
                      <a:picLocks noChangeArrowheads="1" noChangeAspect="1"/>
                    </pic:cNvPicPr>
                  </pic:nvPicPr>
                  <pic:blipFill>
                    <a:blip r:embed="rId1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215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29:</w:t>
      </w:r>
      <w:r>
        <w:t xml:space="preserve"> </w:t>
      </w:r>
      <w:r>
        <w:t xml:space="preserve">Sequence Diagram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4" w:name="data-flow-diagram"/>
    <w:p>
      <w:pPr>
        <w:pStyle w:val="Heading1"/>
      </w:pPr>
      <w:r>
        <w:t xml:space="preserve">9. Data Flow Diagram</w:t>
      </w:r>
    </w:p>
    <w:p>
      <w:pPr>
        <w:pStyle w:val="FirstParagraph"/>
      </w:pPr>
      <w:r>
        <w:t xml:space="preserve">A data-flow diagram is a visual representation of how data moves through</w:t>
      </w:r>
      <w:r>
        <w:t xml:space="preserve"> </w:t>
      </w:r>
      <w:r>
        <w:t xml:space="preserve">a system or a process. A data flow diagram (DFD) shows how information</w:t>
      </w:r>
      <w:r>
        <w:t xml:space="preserve"> </w:t>
      </w:r>
      <w:r>
        <w:t xml:space="preserve">moves through any system or process. It displays data inputs, outputs,</w:t>
      </w:r>
      <w:r>
        <w:t xml:space="preserve"> </w:t>
      </w:r>
      <w:r>
        <w:t xml:space="preserve">storage locations, and routes between each destination using predefined</w:t>
      </w:r>
      <w:r>
        <w:t xml:space="preserve"> </w:t>
      </w:r>
      <w:r>
        <w:t xml:space="preserve">symbols such as rectangles, circles, and arrows as well as brief text</w:t>
      </w:r>
      <w:r>
        <w:t xml:space="preserve"> </w:t>
      </w:r>
      <w:r>
        <w:t xml:space="preserve">labels.</w:t>
      </w:r>
    </w:p>
    <w:bookmarkStart w:id="179" w:name="level-0-terra-audit"/>
    <w:p>
      <w:pPr>
        <w:pStyle w:val="Heading2"/>
      </w:pPr>
      <w:r>
        <w:t xml:space="preserve">9.1 Level 0: Terra-Audit</w:t>
      </w:r>
    </w:p>
    <w:p>
      <w:pPr>
        <w:pStyle w:val="FirstParagraph"/>
      </w:pPr>
      <w:r>
        <w:drawing>
          <wp:inline>
            <wp:extent cx="5334000" cy="2411141"/>
            <wp:effectExtent b="0" l="0" r="0" t="0"/>
            <wp:docPr descr="Fig 30" title="" id="177" name="Picture"/>
            <a:graphic>
              <a:graphicData uri="http://schemas.openxmlformats.org/drawingml/2006/picture">
                <pic:pic>
                  <pic:nvPicPr>
                    <pic:cNvPr descr="diagrams/fig30.png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111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30:</w:t>
      </w:r>
      <w:r>
        <w:t xml:space="preserve"> </w:t>
      </w:r>
      <w:r>
        <w:t xml:space="preserve">Data Flow Diagram (Level 0)</w:t>
      </w:r>
    </w:p>
    <w:bookmarkEnd w:id="179"/>
    <w:bookmarkStart w:id="183" w:name="level-1-terra-audit"/>
    <w:p>
      <w:pPr>
        <w:pStyle w:val="Heading2"/>
      </w:pPr>
      <w:r>
        <w:t xml:space="preserve">9.2 Level 1: Terra-Audit</w:t>
      </w:r>
    </w:p>
    <w:p>
      <w:pPr>
        <w:pStyle w:val="FirstParagraph"/>
      </w:pPr>
      <w:r>
        <w:drawing>
          <wp:inline>
            <wp:extent cx="5334000" cy="693964"/>
            <wp:effectExtent b="0" l="0" r="0" t="0"/>
            <wp:docPr descr="Fig 31" title="" id="181" name="Picture"/>
            <a:graphic>
              <a:graphicData uri="http://schemas.openxmlformats.org/drawingml/2006/picture">
                <pic:pic>
                  <pic:nvPicPr>
                    <pic:cNvPr descr="diagrams/fig31.png" id="182" name="Picture"/>
                    <pic:cNvPicPr>
                      <a:picLocks noChangeArrowheads="1" noChangeAspect="1"/>
                    </pic:cNvPicPr>
                  </pic:nvPicPr>
                  <pic:blipFill>
                    <a:blip r:embed="rId1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6939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Cs/>
          <w:b/>
        </w:rPr>
        <w:t xml:space="preserve">Fig 31:</w:t>
      </w:r>
      <w:r>
        <w:t xml:space="preserve"> </w:t>
      </w:r>
      <w:r>
        <w:t xml:space="preserve">Data Flow Diagram (Level 1)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85" w:name="references"/>
    <w:p>
      <w:pPr>
        <w:pStyle w:val="Heading1"/>
      </w:pPr>
      <w:r>
        <w:t xml:space="preserve">10. References</w:t>
      </w:r>
    </w:p>
    <w:p>
      <w:pPr>
        <w:numPr>
          <w:ilvl w:val="0"/>
          <w:numId w:val="1031"/>
        </w:numPr>
        <w:pStyle w:val="Compact"/>
      </w:pPr>
      <w:r>
        <w:t xml:space="preserve">Verra,</w:t>
      </w:r>
      <w:r>
        <w:t xml:space="preserve"> </w:t>
      </w:r>
      <w:r>
        <w:rPr>
          <w:iCs/>
          <w:i/>
        </w:rPr>
        <w:t xml:space="preserve">VM0051 v1.0 — Methodology for Improved Management in Rice</w:t>
      </w:r>
      <w:r>
        <w:rPr>
          <w:iCs/>
          <w:i/>
        </w:rPr>
        <w:t xml:space="preserve"> </w:t>
      </w:r>
      <w:r>
        <w:rPr>
          <w:iCs/>
          <w:i/>
        </w:rPr>
        <w:t xml:space="preserve">Production Systems</w:t>
      </w:r>
      <w:r>
        <w:t xml:space="preserve">, 27 February 2025. Available at:</w:t>
      </w:r>
      <w:r>
        <w:t xml:space="preserve"> </w:t>
      </w:r>
      <w:r>
        <w:t xml:space="preserve">https://verra.org/methodologies/ — a copy is included in this</w:t>
      </w:r>
      <w:r>
        <w:t xml:space="preserve"> </w:t>
      </w:r>
      <w:r>
        <w:t xml:space="preserve">repository at</w:t>
      </w:r>
      <w:r>
        <w:t xml:space="preserve"> </w:t>
      </w:r>
      <w:r>
        <w:rPr>
          <w:rStyle w:val="VerbatimChar"/>
        </w:rPr>
        <w:t xml:space="preserve">docs/VM0051v1_27Feb25.pdf</w:t>
      </w:r>
      <w:r>
        <w:t xml:space="preserve">.</w:t>
      </w:r>
    </w:p>
    <w:p>
      <w:pPr>
        <w:numPr>
          <w:ilvl w:val="0"/>
          <w:numId w:val="1031"/>
        </w:numPr>
        <w:pStyle w:val="Compact"/>
      </w:pPr>
      <w:r>
        <w:t xml:space="preserve">IPCC,</w:t>
      </w:r>
      <w:r>
        <w:t xml:space="preserve"> </w:t>
      </w:r>
      <w:r>
        <w:rPr>
          <w:iCs/>
          <w:i/>
        </w:rPr>
        <w:t xml:space="preserve">2019 Refinement to the 2006 IPCC Guidelines for National</w:t>
      </w:r>
      <w:r>
        <w:rPr>
          <w:iCs/>
          <w:i/>
        </w:rPr>
        <w:t xml:space="preserve"> </w:t>
      </w:r>
      <w:r>
        <w:rPr>
          <w:iCs/>
          <w:i/>
        </w:rPr>
        <w:t xml:space="preserve">Greenhouse Gas Inventories</w:t>
      </w:r>
      <w:r>
        <w:t xml:space="preserve">, Volume 4 (Agriculture, Forestry and</w:t>
      </w:r>
      <w:r>
        <w:t xml:space="preserve"> </w:t>
      </w:r>
      <w:r>
        <w:t xml:space="preserve">Other Land Use), Chapter 5, Table 5.12 (water regime scaling</w:t>
      </w:r>
      <w:r>
        <w:t xml:space="preserve"> </w:t>
      </w:r>
      <w:r>
        <w:t xml:space="preserve">factors) and Chapter 11, Table 11.1 (N₂O emission factors).</w:t>
      </w:r>
      <w:r>
        <w:t xml:space="preserve"> </w:t>
      </w:r>
      <w:r>
        <w:t xml:space="preserve">https://www.ipcc-nggip.iges.or.jp/public/2019rf/</w:t>
      </w:r>
    </w:p>
    <w:p>
      <w:pPr>
        <w:numPr>
          <w:ilvl w:val="0"/>
          <w:numId w:val="1031"/>
        </w:numPr>
        <w:pStyle w:val="Compact"/>
      </w:pPr>
      <w:r>
        <w:t xml:space="preserve">IPCC,</w:t>
      </w:r>
      <w:r>
        <w:t xml:space="preserve"> </w:t>
      </w:r>
      <w:r>
        <w:rPr>
          <w:iCs/>
          <w:i/>
        </w:rPr>
        <w:t xml:space="preserve">Fifth Assessment Report (AR5), Climate Change 2013: The</w:t>
      </w:r>
      <w:r>
        <w:rPr>
          <w:iCs/>
          <w:i/>
        </w:rPr>
        <w:t xml:space="preserve"> </w:t>
      </w:r>
      <w:r>
        <w:rPr>
          <w:iCs/>
          <w:i/>
        </w:rPr>
        <w:t xml:space="preserve">Physical Science Basis</w:t>
      </w:r>
      <w:r>
        <w:t xml:space="preserve"> </w:t>
      </w:r>
      <w:r>
        <w:t xml:space="preserve">— 100-year Global Warming Potential values</w:t>
      </w:r>
      <w:r>
        <w:t xml:space="preserve"> </w:t>
      </w:r>
      <w:r>
        <w:t xml:space="preserve">(CH₄ = 28, N₂O = 265) used in the carbon estimation engine.</w:t>
      </w:r>
    </w:p>
    <w:p>
      <w:pPr>
        <w:numPr>
          <w:ilvl w:val="0"/>
          <w:numId w:val="1031"/>
        </w:numPr>
        <w:pStyle w:val="Compact"/>
      </w:pPr>
      <w:r>
        <w:t xml:space="preserve">European Space Agency / Copernicus Programme,</w:t>
      </w:r>
      <w:r>
        <w:t xml:space="preserve"> </w:t>
      </w:r>
      <w:r>
        <w:rPr>
          <w:iCs/>
          <w:i/>
        </w:rPr>
        <w:t xml:space="preserve">Sentinel-1 SAR User</w:t>
      </w:r>
      <w:r>
        <w:rPr>
          <w:iCs/>
          <w:i/>
        </w:rPr>
        <w:t xml:space="preserve"> </w:t>
      </w:r>
      <w:r>
        <w:rPr>
          <w:iCs/>
          <w:i/>
        </w:rPr>
        <w:t xml:space="preserve">Guide</w:t>
      </w:r>
      <w:r>
        <w:t xml:space="preserve">. https://sentinels.copernicus.eu/web/sentinel/user-guides/sentinel-1-sar</w:t>
      </w:r>
    </w:p>
    <w:p>
      <w:pPr>
        <w:numPr>
          <w:ilvl w:val="0"/>
          <w:numId w:val="1031"/>
        </w:numPr>
        <w:pStyle w:val="Compact"/>
      </w:pPr>
      <w:r>
        <w:t xml:space="preserve">Google,</w:t>
      </w:r>
      <w:r>
        <w:t xml:space="preserve"> </w:t>
      </w:r>
      <w:r>
        <w:rPr>
          <w:iCs/>
          <w:i/>
        </w:rPr>
        <w:t xml:space="preserve">Google Earth Engine API Documentation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earthengine-api</w:t>
      </w:r>
      <w:r>
        <w:t xml:space="preserve">,</w:t>
      </w:r>
      <w:r>
        <w:t xml:space="preserve"> </w:t>
      </w:r>
      <w:r>
        <w:t xml:space="preserve">dataset</w:t>
      </w:r>
      <w:r>
        <w:t xml:space="preserve"> </w:t>
      </w:r>
      <w:r>
        <w:rPr>
          <w:rStyle w:val="VerbatimChar"/>
        </w:rPr>
        <w:t xml:space="preserve">COPERNICUS/S1_GRD</w:t>
      </w:r>
      <w:r>
        <w:t xml:space="preserve">). https://developers.google.com/earth-engine</w:t>
      </w:r>
    </w:p>
    <w:p>
      <w:pPr>
        <w:numPr>
          <w:ilvl w:val="0"/>
          <w:numId w:val="1031"/>
        </w:numPr>
        <w:pStyle w:val="Compact"/>
      </w:pPr>
      <w:r>
        <w:t xml:space="preserve">R. Lampayan et al.,</w:t>
      </w:r>
      <w:r>
        <w:t xml:space="preserve"> </w:t>
      </w:r>
      <w:r>
        <w:t xml:space="preserve">“</w:t>
      </w:r>
      <w:r>
        <w:t xml:space="preserve">Adoption and economics of alternate wetting and</w:t>
      </w:r>
      <w:r>
        <w:t xml:space="preserve"> </w:t>
      </w:r>
      <w:r>
        <w:t xml:space="preserve">drying water management for irrigated lowland rice,</w:t>
      </w:r>
      <w:r>
        <w:t xml:space="preserve">”</w:t>
      </w:r>
      <w:r>
        <w:t xml:space="preserve"> </w:t>
      </w:r>
      <w:r>
        <w:rPr>
          <w:iCs/>
          <w:i/>
        </w:rPr>
        <w:t xml:space="preserve">Field Crops</w:t>
      </w:r>
      <w:r>
        <w:rPr>
          <w:iCs/>
          <w:i/>
        </w:rPr>
        <w:t xml:space="preserve"> </w:t>
      </w:r>
      <w:r>
        <w:rPr>
          <w:iCs/>
          <w:i/>
        </w:rPr>
        <w:t xml:space="preserve">Research</w:t>
      </w:r>
      <w:r>
        <w:t xml:space="preserve">, vol. 170, pp. 95–108, 2015 (background on AWD practice).</w:t>
      </w:r>
    </w:p>
    <w:p>
      <w:pPr>
        <w:numPr>
          <w:ilvl w:val="0"/>
          <w:numId w:val="1031"/>
        </w:numPr>
        <w:pStyle w:val="Compact"/>
      </w:pPr>
      <w:r>
        <w:t xml:space="preserve">A. Savitzky and M. J. E. Golay,</w:t>
      </w:r>
      <w:r>
        <w:t xml:space="preserve"> </w:t>
      </w:r>
      <w:r>
        <w:t xml:space="preserve">“</w:t>
      </w:r>
      <w:r>
        <w:t xml:space="preserve">Smoothing and Differentiation of</w:t>
      </w:r>
      <w:r>
        <w:t xml:space="preserve"> </w:t>
      </w:r>
      <w:r>
        <w:t xml:space="preserve">Data by Simplified Least Squares Procedures,</w:t>
      </w:r>
      <w:r>
        <w:t xml:space="preserve">”</w:t>
      </w:r>
      <w:r>
        <w:t xml:space="preserve"> </w:t>
      </w:r>
      <w:r>
        <w:rPr>
          <w:iCs/>
          <w:i/>
        </w:rPr>
        <w:t xml:space="preserve">Analytical</w:t>
      </w:r>
      <w:r>
        <w:rPr>
          <w:iCs/>
          <w:i/>
        </w:rPr>
        <w:t xml:space="preserve"> </w:t>
      </w:r>
      <w:r>
        <w:rPr>
          <w:iCs/>
          <w:i/>
        </w:rPr>
        <w:t xml:space="preserve">Chemistry</w:t>
      </w:r>
      <w:r>
        <w:t xml:space="preserve">, vol. 36, no. 8, pp. 1627–1639, 1964 (signal smoothing</w:t>
      </w:r>
      <w:r>
        <w:t xml:space="preserve"> </w:t>
      </w:r>
      <w:r>
        <w:t xml:space="preserve">filter used in the data engine).</w:t>
      </w:r>
    </w:p>
    <w:p>
      <w:pPr>
        <w:numPr>
          <w:ilvl w:val="0"/>
          <w:numId w:val="1031"/>
        </w:numPr>
        <w:pStyle w:val="Compact"/>
      </w:pPr>
      <w:r>
        <w:t xml:space="preserve">L. Breiman,</w:t>
      </w:r>
      <w:r>
        <w:t xml:space="preserve"> </w:t>
      </w:r>
      <w:r>
        <w:t xml:space="preserve">“</w:t>
      </w:r>
      <w:r>
        <w:t xml:space="preserve">Random Forests,</w:t>
      </w:r>
      <w:r>
        <w:t xml:space="preserve">”</w:t>
      </w:r>
      <w:r>
        <w:t xml:space="preserve"> </w:t>
      </w:r>
      <w:r>
        <w:rPr>
          <w:iCs/>
          <w:i/>
        </w:rPr>
        <w:t xml:space="preserve">Machine Learning</w:t>
      </w:r>
      <w:r>
        <w:t xml:space="preserve">, vol. 45, no. 1,</w:t>
      </w:r>
      <w:r>
        <w:t xml:space="preserve"> </w:t>
      </w:r>
      <w:r>
        <w:t xml:space="preserve">pp. 5–32, 2001.</w:t>
      </w:r>
    </w:p>
    <w:p>
      <w:pPr>
        <w:numPr>
          <w:ilvl w:val="0"/>
          <w:numId w:val="1031"/>
        </w:numPr>
        <w:pStyle w:val="Compact"/>
      </w:pPr>
      <w:r>
        <w:t xml:space="preserve">T. Chen and C. Guestrin,</w:t>
      </w:r>
      <w:r>
        <w:t xml:space="preserve"> </w:t>
      </w:r>
      <w:r>
        <w:t xml:space="preserve">“</w:t>
      </w:r>
      <w:r>
        <w:t xml:space="preserve">XGBoost: A Scalable Tree Boosting System,</w:t>
      </w:r>
      <w:r>
        <w:t xml:space="preserve">”</w:t>
      </w:r>
      <w:r>
        <w:t xml:space="preserve"> </w:t>
      </w:r>
      <w:r>
        <w:rPr>
          <w:iCs/>
          <w:i/>
        </w:rPr>
        <w:t xml:space="preserve">Proceedings of the 22nd ACM SIGKDD</w:t>
      </w:r>
      <w:r>
        <w:t xml:space="preserve">, pp. 785–794, 2016.</w:t>
      </w:r>
    </w:p>
    <w:p>
      <w:pPr>
        <w:numPr>
          <w:ilvl w:val="0"/>
          <w:numId w:val="1031"/>
        </w:numPr>
        <w:pStyle w:val="Compact"/>
      </w:pPr>
      <w:r>
        <w:t xml:space="preserve">F. Pedregosa et al.,</w:t>
      </w:r>
      <w:r>
        <w:t xml:space="preserve"> </w:t>
      </w:r>
      <w:r>
        <w:t xml:space="preserve">“</w:t>
      </w:r>
      <w:r>
        <w:t xml:space="preserve">Scikit-learn: Machine Learning in Python,</w:t>
      </w:r>
      <w:r>
        <w:t xml:space="preserve">”</w:t>
      </w:r>
      <w:r>
        <w:t xml:space="preserve"> </w:t>
      </w:r>
      <w:r>
        <w:rPr>
          <w:iCs/>
          <w:i/>
        </w:rPr>
        <w:t xml:space="preserve">Journal of Machine Learning Research</w:t>
      </w:r>
      <w:r>
        <w:t xml:space="preserve">, vol. 12, pp. 2825–2830, 2011.</w:t>
      </w:r>
    </w:p>
    <w:p>
      <w:pPr>
        <w:numPr>
          <w:ilvl w:val="0"/>
          <w:numId w:val="1031"/>
        </w:numPr>
        <w:pStyle w:val="Compact"/>
      </w:pPr>
      <w:r>
        <w:t xml:space="preserve">Streamlit Inc.,</w:t>
      </w:r>
      <w:r>
        <w:t xml:space="preserve"> </w:t>
      </w:r>
      <w:r>
        <w:rPr>
          <w:iCs/>
          <w:i/>
        </w:rPr>
        <w:t xml:space="preserve">Streamlit Documentation</w:t>
      </w:r>
      <w:r>
        <w:t xml:space="preserve">. https://docs.streamlit.io</w:t>
      </w:r>
    </w:p>
    <w:p>
      <w:pPr>
        <w:numPr>
          <w:ilvl w:val="0"/>
          <w:numId w:val="1031"/>
        </w:numPr>
        <w:pStyle w:val="Compact"/>
      </w:pPr>
      <w:r>
        <w:t xml:space="preserve">R. S. Pressman and B. R. Maxim,</w:t>
      </w:r>
      <w:r>
        <w:t xml:space="preserve"> </w:t>
      </w:r>
      <w:r>
        <w:rPr>
          <w:iCs/>
          <w:i/>
        </w:rPr>
        <w:t xml:space="preserve">Software Engineering: A</w:t>
      </w:r>
      <w:r>
        <w:rPr>
          <w:iCs/>
          <w:i/>
        </w:rPr>
        <w:t xml:space="preserve"> </w:t>
      </w:r>
      <w:r>
        <w:rPr>
          <w:iCs/>
          <w:i/>
        </w:rPr>
        <w:t xml:space="preserve">Practitioner’s Approach</w:t>
      </w:r>
      <w:r>
        <w:t xml:space="preserve">, 8th ed., McGraw-Hill, 2015 (requirements</w:t>
      </w:r>
      <w:r>
        <w:t xml:space="preserve"> </w:t>
      </w:r>
      <w:r>
        <w:t xml:space="preserve">modeling: scenario-based, data-based, class-based and behavioral</w:t>
      </w:r>
      <w:r>
        <w:t xml:space="preserve"> </w:t>
      </w:r>
      <w:r>
        <w:t xml:space="preserve">modeling used throughout this document).</w:t>
      </w:r>
    </w:p>
    <w:bookmarkEnd w:id="18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0" Target="media/rId40.png" /><Relationship Type="http://schemas.openxmlformats.org/officeDocument/2006/relationships/image" Id="rId44" Target="media/rId44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4" Target="media/rId64.png" /><Relationship Type="http://schemas.openxmlformats.org/officeDocument/2006/relationships/image" Id="rId68" Target="media/rId68.png" /><Relationship Type="http://schemas.openxmlformats.org/officeDocument/2006/relationships/image" Id="rId72" Target="media/rId72.png" /><Relationship Type="http://schemas.openxmlformats.org/officeDocument/2006/relationships/image" Id="rId76" Target="media/rId76.png" /><Relationship Type="http://schemas.openxmlformats.org/officeDocument/2006/relationships/image" Id="rId81" Target="media/rId81.png" /><Relationship Type="http://schemas.openxmlformats.org/officeDocument/2006/relationships/image" Id="rId85" Target="media/rId85.png" /><Relationship Type="http://schemas.openxmlformats.org/officeDocument/2006/relationships/image" Id="rId89" Target="media/rId89.png" /><Relationship Type="http://schemas.openxmlformats.org/officeDocument/2006/relationships/image" Id="rId93" Target="media/rId93.png" /><Relationship Type="http://schemas.openxmlformats.org/officeDocument/2006/relationships/image" Id="rId97" Target="media/rId97.png" /><Relationship Type="http://schemas.openxmlformats.org/officeDocument/2006/relationships/image" Id="rId101" Target="media/rId101.png" /><Relationship Type="http://schemas.openxmlformats.org/officeDocument/2006/relationships/image" Id="rId105" Target="media/rId105.png" /><Relationship Type="http://schemas.openxmlformats.org/officeDocument/2006/relationships/image" Id="rId109" Target="media/rId109.png" /><Relationship Type="http://schemas.openxmlformats.org/officeDocument/2006/relationships/image" Id="rId117" Target="media/rId117.png" /><Relationship Type="http://schemas.openxmlformats.org/officeDocument/2006/relationships/image" Id="rId121" Target="media/rId121.png" /><Relationship Type="http://schemas.openxmlformats.org/officeDocument/2006/relationships/image" Id="rId143" Target="media/rId143.png" /><Relationship Type="http://schemas.openxmlformats.org/officeDocument/2006/relationships/image" Id="rId146" Target="media/rId146.png" /><Relationship Type="http://schemas.openxmlformats.org/officeDocument/2006/relationships/image" Id="rId152" Target="media/rId152.png" /><Relationship Type="http://schemas.openxmlformats.org/officeDocument/2006/relationships/image" Id="rId155" Target="media/rId155.png" /><Relationship Type="http://schemas.openxmlformats.org/officeDocument/2006/relationships/image" Id="rId158" Target="media/rId158.png" /><Relationship Type="http://schemas.openxmlformats.org/officeDocument/2006/relationships/image" Id="rId161" Target="media/rId161.png" /><Relationship Type="http://schemas.openxmlformats.org/officeDocument/2006/relationships/image" Id="rId164" Target="media/rId164.png" /><Relationship Type="http://schemas.openxmlformats.org/officeDocument/2006/relationships/image" Id="rId167" Target="media/rId167.png" /><Relationship Type="http://schemas.openxmlformats.org/officeDocument/2006/relationships/image" Id="rId171" Target="media/rId171.png" /><Relationship Type="http://schemas.openxmlformats.org/officeDocument/2006/relationships/image" Id="rId176" Target="media/rId176.png" /><Relationship Type="http://schemas.openxmlformats.org/officeDocument/2006/relationships/image" Id="rId180" Target="media/rId18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2026-07-12T11:51:36Z</dcterms:created>
  <dcterms:modified xsi:type="dcterms:W3CDTF">2026-07-12T11:51:36Z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