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101.png" ContentType="image/png"/>
  <Override PartName="/word/media/rId113.png" ContentType="image/png"/>
  <Override PartName="/word/media/rId94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tbl>
      <w:tblPr>
        <w:tblStyle w:val="Table"/>
        <w:tblW w:w="5000" w:type="pct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tcW w:w="33" w:type="pct"/>
            <w:tcBorders>
              <w:top w:val="none"/>
              <w:left w:val="none"/>
              <w:bottom w:val="single"/>
              <w:right w:val="non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47842">
            <w:pPr>
              <w:pStyle w:val="Compact"/>
              <w:jc w:val="center"/>
            </w:pPr>
            <w:r>
              <w:drawing>
                <wp:inline distT="0" distB="0" distL="0" distR="0">
                  <wp:extent cx="638175" cy="809625"/>
                  <wp:effectExtent l="0" t="0" r="0" b="0"/>
                  <wp:docPr id="100000" name="Picture 10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" name="image10000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" w:type="pct"/>
            <w:tcBorders>
              <w:top w:val="none"/>
              <w:left w:val="none"/>
              <w:bottom w:val="single"/>
              <w:right w:val="non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2AB3">
            <w:pPr>
              <w:pStyle w:val="Compact"/>
              <w:jc w:val="center"/>
            </w:pPr>
            <w:r>
              <w:rPr>
                <w:rStyle w:val="CoverRedHeader"/>
                <w:rFonts w:ascii="Cambria" w:hAnsi="Cambria" w:eastAsia="Cambria" w:cs="Cambria" w:asciiTheme="minorHAnsi" w:hAnsiTheme="minorHAnsi" w:eastAsiaTheme="minorHAnsi" w:csTheme="minorBidi"/>
                <w:b/>
                <w:bCs/>
                <w:color w:val="C00000"/>
                <w:sz w:val="22"/>
                <w:szCs w:val="22"/>
              </w:rPr>
              <w:t>INSTITUTE OF INFORMATION TECHNOLOGY</w:t>
            </w:r>
            <w:r>
              <w:br w:type="textWrapping"/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UNIVERSITY OF DHAKA</w:t>
            </w:r>
          </w:p>
        </w:tc>
        <w:tc>
          <w:tcPr>
            <w:tcW w:w="33" w:type="pct"/>
            <w:tcBorders>
              <w:top w:val="none"/>
              <w:left w:val="none"/>
              <w:bottom w:val="single"/>
              <w:right w:val="non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F63F6">
            <w:pPr>
              <w:pStyle w:val="Compact"/>
              <w:jc w:val="center"/>
            </w:pPr>
            <w:r>
              <w:drawing>
                <wp:inline distT="0" distB="0" distL="0" distR="0">
                  <wp:extent cx="1009650" cy="552450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image100001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65AAF">
      <w:pPr>
        <w:pStyle w:val="CoverCenter"/>
        <w:jc w:val="center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 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 </w:t>
      </w:r>
      <w:r>
        <w:br w:type="textWrapping"/>
      </w:r>
      <w:r>
        <w:rPr>
          <w:rStyle w:val="CoverTitleBlue"/>
          <w:rFonts w:ascii="Cambria" w:hAnsi="Cambria" w:eastAsia="Cambria" w:cs="Cambria" w:asciiTheme="minorHAnsi" w:hAnsiTheme="minorHAnsi" w:eastAsiaTheme="minorHAnsi" w:csTheme="minorBidi"/>
          <w:b/>
          <w:bCs/>
          <w:color w:val="1155CC"/>
          <w:sz w:val="44"/>
          <w:szCs w:val="44"/>
        </w:rPr>
        <w:t>TERRA-AUDIT</w:t>
      </w:r>
    </w:p>
    <w:p w14:paraId="60EA1AC4">
      <w:pPr>
        <w:pStyle w:val="CoverCenter"/>
        <w:jc w:val="center"/>
      </w:pPr>
      <w:r>
        <w:rPr>
          <w:rStyle w:val="CoverSubtitleItalic"/>
          <w:rFonts w:ascii="Cambria" w:hAnsi="Cambria" w:eastAsia="Cambria" w:cs="Cambria" w:asciiTheme="minorHAnsi" w:hAnsiTheme="minorHAnsi" w:eastAsiaTheme="minorHAnsi" w:csTheme="minorBidi"/>
          <w:i/>
          <w:iCs/>
          <w:color w:val="333333"/>
          <w:sz w:val="22"/>
          <w:szCs w:val="22"/>
        </w:rPr>
        <w:t>– AI-Assisted Digital MRV Platform for AWD Rice Irrigation and Agricultural Land Management Carbon Credits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 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 </w:t>
      </w:r>
    </w:p>
    <w:p w14:paraId="70B2FFC0">
      <w:pPr>
        <w:pStyle w:val="CoverCenter"/>
        <w:jc w:val="center"/>
      </w:pPr>
      <w:r>
        <w:rPr>
          <w:rStyle w:val="CoverRedHeader"/>
          <w:rFonts w:ascii="Cambria" w:hAnsi="Cambria" w:eastAsia="Cambria" w:cs="Cambria" w:asciiTheme="minorHAnsi" w:hAnsiTheme="minorHAnsi" w:eastAsiaTheme="minorHAnsi" w:csTheme="minorBidi"/>
          <w:b/>
          <w:bCs/>
          <w:color w:val="C00000"/>
          <w:sz w:val="22"/>
          <w:szCs w:val="22"/>
        </w:rPr>
        <w:t>Submitted As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Technical Report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SE801 Project Midterm Report  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 </w:t>
      </w:r>
    </w:p>
    <w:p w14:paraId="2856F112">
      <w:pPr>
        <w:pStyle w:val="CoverCenter"/>
        <w:jc w:val="center"/>
      </w:pPr>
      <w:r>
        <w:rPr>
          <w:rStyle w:val="CoverRedHeader"/>
          <w:rFonts w:ascii="Cambria" w:hAnsi="Cambria" w:eastAsia="Cambria" w:cs="Cambria" w:asciiTheme="minorHAnsi" w:hAnsiTheme="minorHAnsi" w:eastAsiaTheme="minorHAnsi" w:csTheme="minorBidi"/>
          <w:b/>
          <w:bCs/>
          <w:color w:val="C00000"/>
          <w:sz w:val="22"/>
          <w:szCs w:val="22"/>
        </w:rPr>
        <w:t>Submitted By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Kazi Nahid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BSSE Roll: 1437</w:t>
      </w:r>
      <w:r>
        <w:br w:type="textWrapping"/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 </w:t>
      </w:r>
    </w:p>
    <w:p w14:paraId="7B4EF176">
      <w:pPr>
        <w:pStyle w:val="CoverCenter"/>
        <w:jc w:val="center"/>
      </w:pPr>
      <w:r>
        <w:rPr>
          <w:rStyle w:val="CoverRedHeader"/>
          <w:rFonts w:ascii="Cambria" w:hAnsi="Cambria" w:eastAsia="Cambria" w:cs="Cambria" w:asciiTheme="minorHAnsi" w:hAnsiTheme="minorHAnsi" w:eastAsiaTheme="minorHAnsi" w:csTheme="minorBidi"/>
          <w:b/>
          <w:bCs/>
          <w:color w:val="C00000"/>
          <w:sz w:val="22"/>
          <w:szCs w:val="22"/>
        </w:rPr>
        <w:t>Supervised By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Dr. Emon Kumar Dey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Professor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Institute of Information Technology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University of Dhaka  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 </w:t>
      </w:r>
    </w:p>
    <w:p w14:paraId="733613BB">
      <w:pPr>
        <w:pStyle w:val="CoverCenter"/>
        <w:jc w:val="center"/>
      </w:pPr>
      <w:r>
        <w:rPr>
          <w:rStyle w:val="CoverRedHeader"/>
          <w:rFonts w:ascii="Cambria" w:hAnsi="Cambria" w:eastAsia="Cambria" w:cs="Cambria" w:asciiTheme="minorHAnsi" w:hAnsiTheme="minorHAnsi" w:eastAsiaTheme="minorHAnsi" w:csTheme="minorBidi"/>
          <w:b/>
          <w:bCs/>
          <w:color w:val="C00000"/>
          <w:sz w:val="22"/>
          <w:szCs w:val="22"/>
        </w:rPr>
        <w:t>Date of Submission</w:t>
      </w:r>
      <w:r>
        <w:br w:type="textWrapping"/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2 August 2026</w:t>
      </w:r>
    </w:p>
    <w:p w14:paraId="04F938F6">
      <w:pPr>
        <w:spacing w:after="200"/>
        <w:sectPr>
          <w:type w:val="nextPage"/>
          <w:pgSz w:w="11906" w:h="16838"/>
          <w:pgMar w:top="1440" w:right="1440" w:bottom="1440" w:left="1440"/>
          <w:pgBorders w:offsetFrom="page">
            <w:top w:val="single" w:sz="6" w:space="24" w:color="B7B7B7"/>
            <w:left w:val="single" w:sz="6" w:space="24" w:color="B7B7B7"/>
            <w:bottom w:val="single" w:sz="6" w:space="24" w:color="B7B7B7"/>
            <w:right w:val="single" w:sz="6" w:space="24" w:color="B7B7B7"/>
          </w:pgBorders>
        </w:sectPr>
      </w:pPr>
    </w:p>
    <w:p w14:paraId="4F2D4084">
      <w:pPr>
        <w:pStyle w:val="Heading1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  <w:t>Table of Contents</w:t>
      </w:r>
    </w:p>
    <w:p w14:paraId="69F805BE">
      <w:pPr>
        <w:pStyle w:val="Compact"/>
        <w:numPr>
          <w:ilvl w:val="0"/>
          <w:numId w:val="1001"/>
        </w:numPr>
        <w:ind w:left="720" w:hanging="480"/>
      </w:pPr>
      <w:hyperlink w:anchor="X1c555f901308e0ca1fe83531c356e1a10b9c010">
        <w:r>
          <w:rPr>
            <w:rStyle w:val="Hyperlink"/>
            <w:rFonts w:ascii="Cambria" w:hAnsi="Cambria" w:eastAsia="Cambria" w:cs="Cambria" w:asciiTheme="minorHAnsi" w:hAnsiTheme="minorHAnsi" w:eastAsiaTheme="minorHAnsi" w:csTheme="minorBidi"/>
            <w:color w:val="4F81BD" w:themeColor="accent1"/>
            <w:sz w:val="24"/>
            <w:szCs w:val="24"/>
          </w:rPr>
          <w:t>1. Project Overview</w:t>
        </w:r>
      </w:hyperlink>
    </w:p>
    <w:p w14:paraId="0724D3B7">
      <w:pPr>
        <w:pStyle w:val="Compact"/>
        <w:numPr>
          <w:ilvl w:val="0"/>
          <w:numId w:val="1001"/>
        </w:numPr>
        <w:ind w:left="720" w:hanging="480"/>
      </w:pPr>
      <w:hyperlink w:anchor="X2a90214c18e7d51bcd4d75a700c808c1943b969">
        <w:r>
          <w:rPr>
            <w:rStyle w:val="Hyperlink"/>
            <w:rFonts w:ascii="Cambria" w:hAnsi="Cambria" w:eastAsia="Cambria" w:cs="Cambria" w:asciiTheme="minorHAnsi" w:hAnsiTheme="minorHAnsi" w:eastAsiaTheme="minorHAnsi" w:csTheme="minorBidi"/>
            <w:color w:val="4F81BD" w:themeColor="accent1"/>
            <w:sz w:val="24"/>
            <w:szCs w:val="24"/>
          </w:rPr>
          <w:t>2. Requirements Analysis</w:t>
        </w:r>
      </w:hyperlink>
    </w:p>
    <w:p w14:paraId="24E717D0">
      <w:pPr>
        <w:pStyle w:val="Compact"/>
        <w:numPr>
          <w:ilvl w:val="0"/>
          <w:numId w:val="1001"/>
        </w:numPr>
        <w:ind w:left="720" w:hanging="480"/>
      </w:pPr>
      <w:hyperlink w:anchor="X3e5b3ab87b28fc517f54d298fe15f348cc9869c">
        <w:r>
          <w:rPr>
            <w:rStyle w:val="Hyperlink"/>
            <w:rFonts w:ascii="Cambria" w:hAnsi="Cambria" w:eastAsia="Cambria" w:cs="Cambria" w:asciiTheme="minorHAnsi" w:hAnsiTheme="minorHAnsi" w:eastAsiaTheme="minorHAnsi" w:csTheme="minorBidi"/>
            <w:color w:val="4F81BD" w:themeColor="accent1"/>
            <w:sz w:val="24"/>
            <w:szCs w:val="24"/>
          </w:rPr>
          <w:t>3. System Modeling</w:t>
        </w:r>
      </w:hyperlink>
    </w:p>
    <w:p w14:paraId="62525E68">
      <w:pPr>
        <w:pStyle w:val="Compact"/>
        <w:numPr>
          <w:ilvl w:val="0"/>
          <w:numId w:val="1001"/>
        </w:numPr>
        <w:ind w:left="720" w:hanging="480"/>
      </w:pPr>
      <w:hyperlink w:anchor="X071933f64585b6a72ee23986970c1a41aada58f">
        <w:r>
          <w:rPr>
            <w:rStyle w:val="Hyperlink"/>
            <w:rFonts w:ascii="Cambria" w:hAnsi="Cambria" w:eastAsia="Cambria" w:cs="Cambria" w:asciiTheme="minorHAnsi" w:hAnsiTheme="minorHAnsi" w:eastAsiaTheme="minorHAnsi" w:csTheme="minorBidi"/>
            <w:color w:val="4F81BD" w:themeColor="accent1"/>
            <w:sz w:val="24"/>
            <w:szCs w:val="24"/>
          </w:rPr>
          <w:t>4. Data &amp; Information Modeling</w:t>
        </w:r>
      </w:hyperlink>
    </w:p>
    <w:p w14:paraId="5324855C">
      <w:pPr>
        <w:pStyle w:val="Compact"/>
        <w:numPr>
          <w:ilvl w:val="0"/>
          <w:numId w:val="1001"/>
        </w:numPr>
        <w:ind w:left="720" w:hanging="480"/>
      </w:pPr>
      <w:hyperlink w:anchor="X0223c9dfbde7fd89e0eb695eedea88d40ae956f">
        <w:r>
          <w:rPr>
            <w:rStyle w:val="Hyperlink"/>
            <w:rFonts w:ascii="Cambria" w:hAnsi="Cambria" w:eastAsia="Cambria" w:cs="Cambria" w:asciiTheme="minorHAnsi" w:hAnsiTheme="minorHAnsi" w:eastAsiaTheme="minorHAnsi" w:csTheme="minorBidi"/>
            <w:color w:val="4F81BD" w:themeColor="accent1"/>
            <w:sz w:val="24"/>
            <w:szCs w:val="24"/>
          </w:rPr>
          <w:t>5. Software Design</w:t>
        </w:r>
      </w:hyperlink>
    </w:p>
    <w:p w14:paraId="7CB65D27">
      <w:pPr>
        <w:pStyle w:val="Compact"/>
        <w:numPr>
          <w:ilvl w:val="0"/>
          <w:numId w:val="1001"/>
        </w:numPr>
        <w:ind w:left="720" w:hanging="480"/>
      </w:pPr>
      <w:hyperlink w:anchor="X9e8f78ea5cc688949ef58ebdd697235ce7a7c8e">
        <w:r>
          <w:rPr>
            <w:rStyle w:val="Hyperlink"/>
            <w:rFonts w:ascii="Cambria" w:hAnsi="Cambria" w:eastAsia="Cambria" w:cs="Cambria" w:asciiTheme="minorHAnsi" w:hAnsiTheme="minorHAnsi" w:eastAsiaTheme="minorHAnsi" w:csTheme="minorBidi"/>
            <w:color w:val="4F81BD" w:themeColor="accent1"/>
            <w:sz w:val="24"/>
            <w:szCs w:val="24"/>
          </w:rPr>
          <w:t>6. AI Engineering Design</w:t>
        </w:r>
      </w:hyperlink>
    </w:p>
    <w:p w14:paraId="0F4AF44A">
      <w:pPr>
        <w:pStyle w:val="Compact"/>
        <w:numPr>
          <w:ilvl w:val="0"/>
          <w:numId w:val="1001"/>
        </w:numPr>
        <w:ind w:left="720" w:hanging="480"/>
      </w:pPr>
      <w:hyperlink w:anchor="Xc7a0debdb3ec913ade082467c62bd84a6f08503">
        <w:r>
          <w:rPr>
            <w:rStyle w:val="Hyperlink"/>
            <w:rFonts w:ascii="Cambria" w:hAnsi="Cambria" w:eastAsia="Cambria" w:cs="Cambria" w:asciiTheme="minorHAnsi" w:hAnsiTheme="minorHAnsi" w:eastAsiaTheme="minorHAnsi" w:csTheme="minorBidi"/>
            <w:color w:val="4F81BD" w:themeColor="accent1"/>
            <w:sz w:val="24"/>
            <w:szCs w:val="24"/>
          </w:rPr>
          <w:t>7. Preliminary Test Plan</w:t>
        </w:r>
      </w:hyperlink>
    </w:p>
    <w:p w14:paraId="452D6166">
      <w:pPr>
        <w:pStyle w:val="Compact"/>
        <w:numPr>
          <w:ilvl w:val="0"/>
          <w:numId w:val="1001"/>
        </w:numPr>
        <w:ind w:left="720" w:hanging="480"/>
      </w:pPr>
      <w:hyperlink w:anchor="Xe23c6d917ac4c8cb31c83db78cc02d71adf5d1b">
        <w:r>
          <w:rPr>
            <w:rStyle w:val="Hyperlink"/>
            <w:rFonts w:ascii="Cambria" w:hAnsi="Cambria" w:eastAsia="Cambria" w:cs="Cambria" w:asciiTheme="minorHAnsi" w:hAnsiTheme="minorHAnsi" w:eastAsiaTheme="minorHAnsi" w:csTheme="minorBidi"/>
            <w:color w:val="4F81BD" w:themeColor="accent1"/>
            <w:sz w:val="24"/>
            <w:szCs w:val="24"/>
          </w:rPr>
          <w:t>8. Timeline</w:t>
        </w:r>
      </w:hyperlink>
    </w:p>
    <w:p w14:paraId="2CD216F7">
      <w:pPr>
        <w:pStyle w:val="Compact"/>
        <w:numPr>
          <w:ilvl w:val="0"/>
          <w:numId w:val="1001"/>
        </w:numPr>
        <w:ind w:left="720" w:hanging="480"/>
      </w:pPr>
      <w:hyperlink w:anchor="references">
        <w:r>
          <w:rPr>
            <w:rStyle w:val="Hyperlink"/>
            <w:rFonts w:ascii="Cambria" w:hAnsi="Cambria" w:eastAsia="Cambria" w:cs="Cambria" w:asciiTheme="minorHAnsi" w:hAnsiTheme="minorHAnsi" w:eastAsiaTheme="minorHAnsi" w:csTheme="minorBidi"/>
            <w:color w:val="4F81BD" w:themeColor="accent1"/>
            <w:sz w:val="24"/>
            <w:szCs w:val="24"/>
          </w:rPr>
          <w:t>References</w:t>
        </w:r>
      </w:hyperlink>
    </w:p>
    <w:p w14:paraId="354CCA9B">
      <w:pPr>
        <w:pageBreakBefore/>
        <w:spacing w:after="200"/>
      </w:pPr>
      <w:r>
        <w:lastRenderedPageBreak/>
      </w:r>
    </w:p>
    <w:p w14:paraId="5351E88F">
      <w:pPr>
        <w:pStyle w:val="Heading1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  <w:t>1. Project Overview</w:t>
      </w:r>
    </w:p>
    <w:p w14:paraId="24E3F5AE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1.1 Project Title</w:t>
      </w:r>
    </w:p>
    <w:p w14:paraId="589B10E5">
      <w:pPr>
        <w:pStyle w:val="FirstParagraph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Terra-Audit — AI-Assisted Digital MRV Platform for AWD Rice Irrigation and Agricultural Land Management Carbon Credits.</w:t>
      </w:r>
    </w:p>
    <w:p w14:paraId="26BDE69D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1.2 Problem Statement</w:t>
      </w:r>
    </w:p>
    <w:p w14:paraId="4E90B602">
      <w:pPr>
        <w:pStyle w:val="FirstParagraph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Rice paddies are a major source of anthropogenic methane, and Alternate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Wetting and Drying (AWD) irrigation is a proven mitigation practice, but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existing carbon-credit workflows fail to verify it credibly. Self-reported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irrigation logs are unverifiable, on-the-ground water-level loggers are too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expensive to deploy across thousands of smallholder paddies, and carbon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calculations are usually opaque spreadsheets that an auditor cannot trace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back to raw evidence. A parallel problem exists for non-wetland cropland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enrolled under improved agricultural land management: baseline versus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project practice changes (fertilizer, tillage, residue, crop planting) 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soil organic carbon (SOC) stock change must be quantified from lab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measurements and disclosed with full uncertainty accounting, which existing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smallholder-scale tooling does not support end to end.</w:t>
      </w:r>
    </w:p>
    <w:p w14:paraId="34F1C919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Terra-Audit addresses both gaps with a single low-cost, evidence-first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platform: Sentinel-1 SAR observations pulled from Google Earth Engine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detect AWD drydown events for rice fields, while manually entered practice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schedules and SOC lab samples drive a parallel accounting path for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cropland fields, and both paths are converted into auditor-ready evidence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packages under Verra methodologies.</w:t>
      </w:r>
    </w:p>
    <w:p w14:paraId="1E37E86F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1.3 Objectives</w:t>
      </w:r>
    </w:p>
    <w:p w14:paraId="0B226844">
      <w:pPr>
        <w:pStyle w:val="Compact"/>
        <w:numPr>
          <w:ilvl w:val="0"/>
          <w:numId w:val="1002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Replace unverifiable farmer self-reporting with satellite-derived AWD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event detection for rice paddies, using freely available Sentinel-1 SAR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data that works day and night through cloud cover.</w:t>
      </w:r>
    </w:p>
    <w:p w14:paraId="1333E454">
      <w:pPr>
        <w:pStyle w:val="Compact"/>
        <w:numPr>
          <w:ilvl w:val="0"/>
          <w:numId w:val="1002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Provide a parallel, methodology-compliant accounting path for cropland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fields enrolled under improved agricultural land management, driven by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manually entered practice and SOC data rather than satellite signal.</w:t>
      </w:r>
    </w:p>
    <w:p w14:paraId="7BF6C4E6">
      <w:pPr>
        <w:pStyle w:val="Compact"/>
        <w:numPr>
          <w:ilvl w:val="0"/>
          <w:numId w:val="1002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Implement carbon credit calculation transparently against Verra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VM0051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(rice AWD, QA3 default-factor pathway) and Verra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VM0042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(cropland ALM) so every intermediate value is inspectable 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reproducible by hand.</w:t>
      </w:r>
    </w:p>
    <w:p w14:paraId="67717AF1">
      <w:pPr>
        <w:pStyle w:val="Compact"/>
        <w:numPr>
          <w:ilvl w:val="0"/>
          <w:numId w:val="1002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Offer an optional AI-assisted detector (Random Forest / XGBoost) that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can replace the rule-based AWD gate, with automatic fallback when no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model has been trained.</w:t>
      </w:r>
    </w:p>
    <w:p w14:paraId="45F6E5D4">
      <w:pPr>
        <w:pStyle w:val="Compact"/>
        <w:numPr>
          <w:ilvl w:val="0"/>
          <w:numId w:val="1002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Package every credit calculation into a self-contained, downloadable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evidence bundle (PDF, JSON, CSV) that a third-party auditor can verify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without access to the running system.</w:t>
      </w:r>
    </w:p>
    <w:p w14:paraId="0D5066BA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1.4 Scope</w:t>
      </w:r>
    </w:p>
    <w:p w14:paraId="1C3AC366">
      <w:pPr>
        <w:pStyle w:val="FirstParagraph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In scope:</w:t>
      </w:r>
    </w:p>
    <w:p w14:paraId="0D308DFC">
      <w:pPr>
        <w:pStyle w:val="Compact"/>
        <w:numPr>
          <w:ilvl w:val="0"/>
          <w:numId w:val="1003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 boundary registration by drawing, file upload (GeoJSON/KML), or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pasted GPS coordinates, with automatic area computation.</w:t>
      </w:r>
    </w:p>
    <w:p w14:paraId="033CAC20">
      <w:pPr>
        <w:pStyle w:val="Compact"/>
        <w:numPr>
          <w:ilvl w:val="0"/>
          <w:numId w:val="1003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 field-type selector that routes each registered field down one of two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independent methodology paths —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rice_awd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(Sentinel-1 driven) or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cropland_alm_vm0042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(manual practice/SOC driven).</w:t>
      </w:r>
    </w:p>
    <w:p w14:paraId="6F67FB7A">
      <w:pPr>
        <w:pStyle w:val="Compact"/>
        <w:numPr>
          <w:ilvl w:val="0"/>
          <w:numId w:val="1003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Sentinel-1 retrieval, caching, signal smoothing, threshold-gate AWD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detection, and phenology extraction for rice fields.</w:t>
      </w:r>
    </w:p>
    <w:p w14:paraId="7EE35259">
      <w:pPr>
        <w:pStyle w:val="Compact"/>
        <w:numPr>
          <w:ilvl w:val="0"/>
          <w:numId w:val="1003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Manual practice-schedule and SOC-measurement entry, validation, 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VM0042 credit calculation for cropland fields (SOC stock change, N₂O,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biomass burning, fossil-fuel CO₂, uncertainty and buffer deduction).</w:t>
      </w:r>
    </w:p>
    <w:p w14:paraId="66A75A50">
      <w:pPr>
        <w:pStyle w:val="Compact"/>
        <w:numPr>
          <w:ilvl w:val="0"/>
          <w:numId w:val="1003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VM0051 QA3 credit calculation for rice fields (CH₄ water-scaling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accounting, uncertainty deduction, N₂O irrigation penalty).</w:t>
      </w:r>
    </w:p>
    <w:p w14:paraId="0ACF5CB6">
      <w:pPr>
        <w:pStyle w:val="Compact"/>
        <w:numPr>
          <w:ilvl w:val="0"/>
          <w:numId w:val="1003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AI-assisted AWD detection and a model validation dashboard, scoped to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the rice path only.</w:t>
      </w:r>
    </w:p>
    <w:p w14:paraId="697E4A80">
      <w:pPr>
        <w:pStyle w:val="Compact"/>
        <w:numPr>
          <w:ilvl w:val="0"/>
          <w:numId w:val="1003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Evidence package export (PDF, JSON, CSV) for both methodology paths.</w:t>
      </w:r>
    </w:p>
    <w:p w14:paraId="627907F7">
      <w:pPr>
        <w:pStyle w:val="Compact"/>
        <w:numPr>
          <w:ilvl w:val="0"/>
          <w:numId w:val="1003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Primary geographic focus is Bangladesh and South Asia for the rice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path; the cropland ALM path is not geography-locked but uses the same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IPCC/AR5 default emission factors.</w:t>
      </w:r>
    </w:p>
    <w:p w14:paraId="65750E28">
      <w:pPr>
        <w:pStyle w:val="FirstParagraph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Out of scope (this phase):</w:t>
      </w:r>
    </w:p>
    <w:p w14:paraId="69873024">
      <w:pPr>
        <w:pStyle w:val="Compact"/>
        <w:numPr>
          <w:ilvl w:val="0"/>
          <w:numId w:val="1004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On-the-ground hardware sensors of any kind.</w:t>
      </w:r>
    </w:p>
    <w:p w14:paraId="04F18901">
      <w:pPr>
        <w:pStyle w:val="Compact"/>
        <w:numPr>
          <w:ilvl w:val="0"/>
          <w:numId w:val="1004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Verra methodologies other than VM0051 and VM0042.</w:t>
      </w:r>
    </w:p>
    <w:p w14:paraId="2FDFEC26">
      <w:pPr>
        <w:pStyle w:val="Compact"/>
        <w:numPr>
          <w:ilvl w:val="0"/>
          <w:numId w:val="1004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Leakage accounting for the cropland ALM path — the engine knowingly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reports this gap as disclosed (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leakage_screened=False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) rather than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silently assuming zero, pending a future methodology pass.</w:t>
      </w:r>
    </w:p>
    <w:p w14:paraId="231B5310">
      <w:pPr>
        <w:pStyle w:val="Compact"/>
        <w:numPr>
          <w:ilvl w:val="0"/>
          <w:numId w:val="1004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Multi-node deployment, authentication/authorization, or hosted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persistence beyond the local SQLite store.</w:t>
      </w:r>
    </w:p>
    <w:p w14:paraId="7C627A71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1.5 Deliverables</w:t>
      </w:r>
    </w:p>
    <w:p w14:paraId="6CA2F5E7">
      <w:pPr>
        <w:pStyle w:val="Compact"/>
        <w:numPr>
          <w:ilvl w:val="0"/>
          <w:numId w:val="1005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 working Streamlit dashboard (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app.py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) covering field management,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signal analytics, both carbon ledgers, and AI validation.</w:t>
      </w:r>
    </w:p>
    <w:p w14:paraId="4D00C843">
      <w:pPr>
        <w:pStyle w:val="Compact"/>
        <w:numPr>
          <w:ilvl w:val="0"/>
          <w:numId w:val="1005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 local SQLite-backed field registry, time-series cache, and ALM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practice/SOC data store (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src/database.py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).</w:t>
      </w:r>
    </w:p>
    <w:p w14:paraId="6A3D3A2F">
      <w:pPr>
        <w:pStyle w:val="Compact"/>
        <w:numPr>
          <w:ilvl w:val="0"/>
          <w:numId w:val="1005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Two independent, unit-tested carbon accounting engines: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CarbonAssetEngine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(VM0051 QA3) 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AlmCarbonEngine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(VM0042).</w:t>
      </w:r>
    </w:p>
    <w:p w14:paraId="2B7D479A">
      <w:pPr>
        <w:pStyle w:val="Compact"/>
        <w:numPr>
          <w:ilvl w:val="0"/>
          <w:numId w:val="1005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An AI detection pipeline (dataset builder, feature engineer, model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registry, predictor, evaluator) for the rice path.</w:t>
      </w:r>
    </w:p>
    <w:p w14:paraId="3E41CCF9">
      <w:pPr>
        <w:pStyle w:val="Compact"/>
        <w:numPr>
          <w:ilvl w:val="0"/>
          <w:numId w:val="1005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Exportable evidence packages (PDF / JSON / CSV) for both methodology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paths.</w:t>
      </w:r>
    </w:p>
    <w:p w14:paraId="551D7073">
      <w:pPr>
        <w:pStyle w:val="Compact"/>
        <w:numPr>
          <w:ilvl w:val="0"/>
          <w:numId w:val="1005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This technical documentation and an automated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pytest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regression suite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covering both accounting engines.</w:t>
      </w:r>
    </w:p>
    <w:p w14:paraId="0163FF22">
      <w:pPr>
        <w:pageBreakBefore/>
        <w:spacing w:after="200"/>
      </w:pPr>
      <w:r>
        <w:lastRenderedPageBreak/>
      </w:r>
    </w:p>
    <w:p w14:paraId="35F1B013">
      <w:pPr>
        <w:pStyle w:val="Heading1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  <w:t>2. Requirements Analysis</w:t>
      </w:r>
    </w:p>
    <w:p w14:paraId="6B50DC71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2.1 Functional Requirements (List)</w:t>
      </w:r>
    </w:p>
    <w:tbl>
      <w:tblPr>
        <w:tblStyle w:val="Table"/>
        <w:tblW w:w="5000" w:type="pct"/>
        <w:jc w:val="left"/>
        <w:tblBorders>
          <w:top w:val="single" w:sz="4" w:space="0" w:color="4F81BD"/>
          <w:left w:val="single" w:sz="4" w:space="0" w:color="4F81BD"/>
          <w:bottom w:val="single"/>
          <w:right w:val="single" w:sz="4" w:space="0" w:color="4F81BD"/>
          <w:insideH w:val="single"/>
          <w:insideV w:val="single" w:sz="4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D94E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ID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2C6B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Requirement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26AD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Priority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8F86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FR1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669B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Register a field by drawing a polygon, uploading a GeoJSON/KML file, or pasting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lat, lon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coordinates; compute area automatically via the Shoelace formula with spherical correction.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2159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Must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BA42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FR2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4A92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Select a field type (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rice_awd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or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cropland_alm_vm0042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) at registration; the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FieldTypeRegistry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dispatches the correct detector, methodology engine, and UI tabs for that field thereafter.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094E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Must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76A61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FR3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31689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For rice fields, retrieve Sentinel-1 VV/VH backscatter (DESCENDING pass only) over the field geometry and cache it in SQLite keyed by field and monitoring window.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4446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Must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CB059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FR4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3CAD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Apply Savitzky-Golay smoothing, z-score flood detection (z &lt; −0.8), and drydown-event detection (&gt;1.2σ jump after a flooded state) to the rice time-series.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ED64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Must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20BF6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FR5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07C8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Derive sowing and harvest dates from the VH phenology signal, falling back to a 120-day season with a visible warning when signal quality is insufficient.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6F1B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Must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EA62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FR6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695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For cropland fields, accept manually entered baseline/project practice schedules (crop type, tillage, residue handling, fertilizer rates, fuel use, yield) and lab-measured SOC samples, validating completeness before calculation.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60E7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Must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90B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FR7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CD43C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Calculate rice carbon credits under VM0051 QA3: baseline vs. project CH₄, IPCC water-scaling factor, 15% uncertainty deduction, N₂O irrigation penalty, final issuance floored at zero.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37B6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Must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C7D5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FR8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B864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Calculate cropland carbon credits under VM0042: SOC stock change (Quantification Approach 2), default-factor N₂O (fertilizer + N-fixing residue), biomass burning, fossil-fuel CO₂, probability-of-exceedance uncertainty deduction, cumulative non-permanence buffer.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141F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Must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9CD79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FR9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E34D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Offer an AI-assisted AWD detector (Random Forest or XGBoost) as an optional override for the rice path, with automatic fallback to the rule-based gate if the selected model is untrained.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3B719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Should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E6AA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FR10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E6C5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Provide an AI validation dashboard comparing detector agreement, precision/recall/F1, confusion matrices, feature importance, and ROC curves.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6604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Should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85B6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FR11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2D2F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Export a complete evidence package — PDF report, JSON audit record, and CSV — for whichever methodology path a field uses.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ED38C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Must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D0F4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FR12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029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Allow field selection and deletion from a sidebar registry, cascading deletion to cached time-series and stored practice/SOC data.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72106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Should</w:t>
            </w:r>
          </w:p>
        </w:tc>
      </w:tr>
    </w:tbl>
    <w:p w14:paraId="7308BDC1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2.2 Non-functional Requirements</w:t>
      </w:r>
    </w:p>
    <w:tbl>
      <w:tblPr>
        <w:tblStyle w:val="Table"/>
        <w:tblW w:w="5000" w:type="pct"/>
        <w:jc w:val="left"/>
        <w:tblBorders>
          <w:top w:val="single" w:sz="4" w:space="0" w:color="4F81BD"/>
          <w:left w:val="single" w:sz="4" w:space="0" w:color="4F81BD"/>
          <w:bottom w:val="single"/>
          <w:right w:val="single" w:sz="4" w:space="0" w:color="4F81BD"/>
          <w:insideH w:val="single"/>
          <w:insideV w:val="single" w:sz="4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960"/>
        <w:gridCol w:w="3960"/>
      </w:tblGrid>
      <w:tr>
        <w:trPr>
          <w:cantSplit/>
          <w:tblHeader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9EA0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Category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000F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Requirement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71B3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Reliability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9407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Boundary parsers never raise on malformed input; they return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(data, error)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so the UI can surface a readable message. Database migrations are idempotent and safe to re-run.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D1B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Accuracy &amp; Traceability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763C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Every reported carbon figure must be reconstructable by hand from disclosed intermediate values; no hidden constants or silent defaults.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1B37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Performance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75F3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Cache-first design — a repeat analytics run for an already-fetched field/window returns instantly from SQLite rather than re-querying Earth Engine.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B0A2C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Usability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448B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Single-page tabbed dashboard; values computed in one tab (AWD events, season length, area) auto-populate the corresponding carbon ledger tab.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585A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Portability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E4C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Runs on a single machine via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streamlit run app.py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; requires one-time Earth Engine authentication per machine, no other external services.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16B81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Maintainability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9A059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Each field type’s detector and methodology engine are isolated behind a small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register_field_type()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plugin registry, so a third field type can be added without touching the two existing paths.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7C2A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Data Integrity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5D6F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SAR retrieval restricted to DESCENDING passes only to avoid orbit-mixing artifacts; known methodology gaps (e.g., ALM leakage) are surfaced as explicit flags rather than defaulted to zero.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551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Testability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0E013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Both accounting engines are covered by an automated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pytest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regression suite, including golden-value and fallback-path scenarios.</w:t>
            </w:r>
          </w:p>
        </w:tc>
      </w:tr>
    </w:tbl>
    <w:p w14:paraId="35DC8190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2.3 Stakeholders</w:t>
      </w:r>
    </w:p>
    <w:tbl>
      <w:tblPr>
        <w:tblStyle w:val="Table"/>
        <w:tblW w:w="5000" w:type="pct"/>
        <w:jc w:val="left"/>
        <w:tblBorders>
          <w:top w:val="single" w:sz="4" w:space="0" w:color="4F81BD"/>
          <w:left w:val="single" w:sz="4" w:space="0" w:color="4F81BD"/>
          <w:bottom w:val="single"/>
          <w:right w:val="single" w:sz="4" w:space="0" w:color="4F81BD"/>
          <w:insideH w:val="single"/>
          <w:insideV w:val="single" w:sz="4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960"/>
        <w:gridCol w:w="3960"/>
      </w:tblGrid>
      <w:tr>
        <w:trPr>
          <w:cantSplit/>
          <w:tblHeader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9667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Stakeholder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649BC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Interest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3E03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Carbon Project Developer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1928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Registers fields, runs analytics or enters practice/SOC data, and generates credit estimates and evidence packages.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E1A23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Researcher / Data Scientist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F3723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Builds AI training datasets, trains and validates AWD detection models, studies detector agreement with the rule-based gate.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B953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Auditor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59803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Receives the exported evidence package and independently reconstructs every reported number from its disclosed inputs.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4862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Program Operator (farmer cooperative / NGO)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416F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Enrolls farmers’ fields into the program and relies on the platform’s outputs to claim credits on the farmers’ behalf.</w:t>
            </w:r>
          </w:p>
        </w:tc>
      </w:tr>
    </w:tbl>
    <w:p w14:paraId="1EB80DFE">
      <w:pPr>
        <w:pageBreakBefore/>
        <w:spacing w:after="200"/>
      </w:pPr>
      <w:r>
        <w:lastRenderedPageBreak/>
      </w:r>
    </w:p>
    <w:p w14:paraId="514ABC01">
      <w:pPr>
        <w:pStyle w:val="Heading1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  <w:t>3. System Modeling</w:t>
      </w:r>
    </w:p>
    <w:p w14:paraId="338FDF31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3.1 Use Case Diagram and Descriptions</w:t>
      </w:r>
    </w:p>
    <w:p w14:paraId="1BB44DAA">
      <w:pPr>
        <w:pStyle w:val="FirstParagraph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 use case describes the system’s behavior under a given condition as it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responds to a request from one of its actors.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Primary actors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interact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directly with Terra-Audit to achieve a goal: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Carbon Project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Developer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Researcher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and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Auditor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.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Secondary actors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support the system so primary actors can do their work: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Google Earth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Engine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(satellite data source),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SQLite Project Store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(field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registry, time-series cache, and ALM practice/SOC data), and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Model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Artifact Store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(persisted AI models).</w:t>
      </w:r>
    </w:p>
    <w:tbl>
      <w:tblPr>
        <w:tblStyle w:val="Table"/>
        <w:tblW w:w="5000" w:type="pct"/>
        <w:jc w:val="left"/>
        <w:tblBorders>
          <w:top w:val="single" w:sz="4" w:space="0" w:color="4F81BD"/>
          <w:left w:val="single" w:sz="4" w:space="0" w:color="4F81BD"/>
          <w:bottom w:val="single"/>
          <w:right w:val="single" w:sz="4" w:space="0" w:color="4F81BD"/>
          <w:insideH w:val="single"/>
          <w:insideV w:val="single" w:sz="4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54B6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Level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9063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Use Case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0C4D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Primary Actor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1252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Secondary Actor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60DC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Figure</w:t>
            </w:r>
          </w:p>
        </w:tc>
      </w:tr>
      <w:tr>
        <w:trPr>
          <w:cantSplit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AB8B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0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F9481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Terra-Audit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BB5E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Developer, Researcher, Auditor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C335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GEE, SQLite, Model Store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DCCA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Fig 1</w:t>
            </w:r>
          </w:p>
        </w:tc>
      </w:tr>
      <w:tr>
        <w:trPr>
          <w:cantSplit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0DAE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907C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Terra-Audit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2C75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Developer, Researcher, Auditor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7F83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GEE, SQLite, Model Store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51E8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Fig 2</w:t>
            </w:r>
          </w:p>
        </w:tc>
      </w:tr>
      <w:tr>
        <w:trPr>
          <w:cantSplit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9A79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1.1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3978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Field Management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7B2B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Developer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A2906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SQLite Project Store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87B2C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Fig 3</w:t>
            </w:r>
          </w:p>
        </w:tc>
      </w:tr>
      <w:tr>
        <w:trPr>
          <w:cantSplit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11D31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1.1.1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0322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Geometry Input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C9AD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Developer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24406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None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B3B9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Fig 4</w:t>
            </w:r>
          </w:p>
        </w:tc>
      </w:tr>
      <w:tr>
        <w:trPr>
          <w:cantSplit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9B05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1.1.2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1C8B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Field Registration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1BC1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Developer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8E43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SQLite Project Store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1329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Fig 5</w:t>
            </w:r>
          </w:p>
        </w:tc>
      </w:tr>
      <w:tr>
        <w:trPr>
          <w:cantSplit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0B69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1.2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7986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Satellite Data Engine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D0A6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Developer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1C7B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GEE, SQLite Project Store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A0AE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Fig 6</w:t>
            </w:r>
          </w:p>
        </w:tc>
      </w:tr>
      <w:tr>
        <w:trPr>
          <w:cantSplit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FF53C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1.3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1A0A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MRV Signal Analytics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6A09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Developer, Researcher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6B69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Model Artifact Store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374CC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Fig 7</w:t>
            </w:r>
          </w:p>
        </w:tc>
      </w:tr>
      <w:tr>
        <w:trPr>
          <w:cantSplit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F4FF6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1.4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99C69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Carbon Estimation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8056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Developer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4D7D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None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8BFA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Fig 8</w:t>
            </w:r>
          </w:p>
        </w:tc>
      </w:tr>
      <w:tr>
        <w:trPr>
          <w:cantSplit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3197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1.5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4537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Evidence Reporting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BA62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Developer, Auditor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DFA8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None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B8981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Fig 9</w:t>
            </w:r>
          </w:p>
        </w:tc>
      </w:tr>
      <w:tr>
        <w:trPr>
          <w:cantSplit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20046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1.6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4AE2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AI Validation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F17A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Researcher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867C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SQLite, Model Artifact Store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67F3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Fig 10</w:t>
            </w:r>
          </w:p>
        </w:tc>
      </w:tr>
      <w:tr>
        <w:trPr>
          <w:cantSplit/>
        </w:trPr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4A52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1.7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AADE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Cropland ALM Practice &amp; Credit Entry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27F3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Developer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A4E1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SQLite Project Store</w:t>
            </w:r>
          </w:p>
        </w:tc>
        <w:tc>
          <w:tcPr>
            <w:tcW w:w="2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72B1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Described below</w:t>
            </w:r>
          </w:p>
        </w:tc>
      </w:tr>
    </w:tbl>
    <w:p w14:paraId="7BCD77F6">
      <w:pPr>
        <w:pStyle w:val="CaptionedFigure"/>
        <w:keepNext/>
      </w:pPr>
      <w:r>
        <w:drawing>
          <wp:inline distT="0" distB="0" distL="0" distR="0">
            <wp:extent cx="5334000" cy="2895600"/>
            <wp:effectExtent l="0" t="0" r="0" b="0"/>
            <wp:docPr id="100002" name="Picture 100002" descr="Fi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 descr="Fig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8850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1</w:t>
      </w:r>
    </w:p>
    <w:p w14:paraId="4E05DA17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1: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Terra-Audit — AI-Assisted Digital MRV Platform (Level 0).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root use case: all three primary actors interact with Terra-Audit, which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depends on the three secondary actors to do its work.</w:t>
      </w:r>
    </w:p>
    <w:p w14:paraId="522D58C3">
      <w:pPr>
        <w:pStyle w:val="CaptionedFigure"/>
        <w:keepNext/>
      </w:pPr>
      <w:r>
        <w:drawing>
          <wp:inline distT="0" distB="0" distL="0" distR="0">
            <wp:extent cx="5334000" cy="3943350"/>
            <wp:effectExtent l="0" t="0" r="0" b="0"/>
            <wp:docPr id="100003" name="Picture 100003" descr="Fi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 descr="Fig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A2E0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2</w:t>
      </w:r>
    </w:p>
    <w:p w14:paraId="09073926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2: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Level 1 of Terra-Audit. The root use case decomposes into six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first-level capability areas — Field Management, Satellite Data Engine,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MRV Signal Analytics, Carbon Estimation, Evidence Reporting, and AI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Validation — each expanded further below.</w:t>
      </w:r>
    </w:p>
    <w:p w14:paraId="653FE35D">
      <w:pPr>
        <w:pStyle w:val="CaptionedFigure"/>
        <w:keepNext/>
      </w:pPr>
      <w:r>
        <w:drawing>
          <wp:inline distT="0" distB="0" distL="0" distR="0">
            <wp:extent cx="5334000" cy="2676525"/>
            <wp:effectExtent l="0" t="0" r="0" b="0"/>
            <wp:docPr id="100004" name="Picture 100004" descr="Fi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 descr="Fig 3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FBB1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3</w:t>
      </w:r>
    </w:p>
    <w:p w14:paraId="0818DCAE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3: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 Management (Use Case 1.1). The developer registers,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selects, and deletes fields; this level decomposes into Geometry Input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(1.1.1) and Field Registration (1.1.2).</w:t>
      </w:r>
    </w:p>
    <w:p w14:paraId="11AFB1C2">
      <w:pPr>
        <w:pStyle w:val="CaptionedFigure"/>
        <w:keepNext/>
      </w:pPr>
      <w:r>
        <w:drawing>
          <wp:inline distT="0" distB="0" distL="0" distR="0">
            <wp:extent cx="5334000" cy="2038350"/>
            <wp:effectExtent l="0" t="0" r="0" b="0"/>
            <wp:docPr id="100005" name="Picture 100005" descr="Fi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image100005" descr="Fig 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B423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4</w:t>
      </w:r>
    </w:p>
    <w:p w14:paraId="72955C20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4: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Geometry Input (Use Case 1.1.1). The developer supplies a field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boundary by drawing on the map, uploading a GeoJSON/KML file, or pasting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GPS coordinates; malformed input returns a readable error instead of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crashing the app.</w:t>
      </w:r>
    </w:p>
    <w:p w14:paraId="1F992700">
      <w:pPr>
        <w:pStyle w:val="CaptionedFigure"/>
        <w:keepNext/>
      </w:pPr>
      <w:r>
        <w:drawing>
          <wp:inline distT="0" distB="0" distL="0" distR="0">
            <wp:extent cx="5334000" cy="2466975"/>
            <wp:effectExtent l="0" t="0" r="0" b="0"/>
            <wp:docPr id="100006" name="Picture 100006" descr="Fi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image100006" descr="Fig 5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CDC3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5</w:t>
      </w:r>
    </w:p>
    <w:p w14:paraId="18E39BA0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5: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 Registration (Use Case 1.1.2). Once a geometry is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validated, the system computes area via the Shoelace formula with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spherical correction and persists the field — ID, name, district,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geometry, area, and field type — to the SQLite registry.</w:t>
      </w:r>
    </w:p>
    <w:p w14:paraId="4809DC73">
      <w:pPr>
        <w:pStyle w:val="CaptionedFigure"/>
        <w:keepNext/>
      </w:pPr>
      <w:r>
        <w:drawing>
          <wp:inline distT="0" distB="0" distL="0" distR="0">
            <wp:extent cx="5334000" cy="1695450"/>
            <wp:effectExtent l="0" t="0" r="0" b="0"/>
            <wp:docPr id="100007" name="Picture 100007" descr="Fi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image100007" descr="Fig 6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BA7A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6</w:t>
      </w:r>
    </w:p>
    <w:p w14:paraId="288E8E5B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6: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Satellite Data Engine (Use Case 1.2). For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rice_awd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fields,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retrieves Sentinel-1 VV/VH backscatter over the field geometry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(DESCENDING pass only) from Google Earth Engine, checking the local cache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first and persisting any newly fetched observations for instant reuse.</w:t>
      </w:r>
    </w:p>
    <w:p w14:paraId="42AD5747">
      <w:pPr>
        <w:pStyle w:val="CaptionedFigure"/>
        <w:keepNext/>
      </w:pPr>
      <w:r>
        <w:drawing>
          <wp:inline distT="0" distB="0" distL="0" distR="0">
            <wp:extent cx="5334000" cy="2533650"/>
            <wp:effectExtent l="0" t="0" r="0" b="0"/>
            <wp:docPr id="100008" name="Picture 100008" descr="Fi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image100008" descr="Fig 7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C2F2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7</w:t>
      </w:r>
    </w:p>
    <w:p w14:paraId="066FB137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7: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MRV Signal Analytics (Use Case 1.3). Applies Savitzky-Golay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smoothing, z-score flood detection, drydown-event detection, 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VH-based phenology extraction to the cached time-series; the researcher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may substitute an AI-assisted detector for the rule-based gate.</w:t>
      </w:r>
    </w:p>
    <w:p w14:paraId="47DCD54A">
      <w:pPr>
        <w:pStyle w:val="CaptionedFigure"/>
        <w:keepNext/>
      </w:pPr>
      <w:r>
        <w:drawing>
          <wp:inline distT="0" distB="0" distL="0" distR="0">
            <wp:extent cx="5334000" cy="5219700"/>
            <wp:effectExtent l="0" t="0" r="0" b="0"/>
            <wp:docPr id="100009" name="Picture 100009" descr="Fi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image100009" descr="Fig 8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DE89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8</w:t>
      </w:r>
    </w:p>
    <w:p w14:paraId="4736A8EC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8: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Carbon Estimation (Use Case 1.4). Computes VM0051 QA3 rice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credits or VM0042 cropland ALM credits depending on the field’s type,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exposing every intermediate value in the ledger for hand verification.</w:t>
      </w:r>
    </w:p>
    <w:p w14:paraId="30D32F5E">
      <w:pPr>
        <w:pStyle w:val="CaptionedFigure"/>
        <w:keepNext/>
      </w:pPr>
      <w:r>
        <w:drawing>
          <wp:inline distT="0" distB="0" distL="0" distR="0">
            <wp:extent cx="5334000" cy="3486150"/>
            <wp:effectExtent l="0" t="0" r="0" b="0"/>
            <wp:docPr id="100010" name="Picture 100010" descr="Fi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image100010" descr="Fig 9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83A5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9</w:t>
      </w:r>
    </w:p>
    <w:p w14:paraId="63ED5EAB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9: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Evidence Reporting (Use Case 1.5). Packages the field record,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monitoring window, satellite or practice data, and carbon calculation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into a downloadable PDF report, JSON audit record, and CSV.</w:t>
      </w:r>
    </w:p>
    <w:p w14:paraId="5FF4CF09">
      <w:pPr>
        <w:pStyle w:val="CaptionedFigure"/>
        <w:keepNext/>
      </w:pPr>
      <w:r>
        <w:drawing>
          <wp:inline distT="0" distB="0" distL="0" distR="0">
            <wp:extent cx="5334000" cy="2905125"/>
            <wp:effectExtent l="0" t="0" r="0" b="0"/>
            <wp:docPr id="100011" name="Picture 100011" descr="Fi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image100011" descr="Fig 10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22D1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10</w:t>
      </w:r>
    </w:p>
    <w:p w14:paraId="7383B97F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10: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AI Validation (Use Case 1.6). The researcher builds a labeled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dataset, trains Random Forest and XGBoost classifiers, and compares their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agreement with the rule-based gate via precision/recall/F1, confusion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matrices, feature importance, and ROC curves.</w:t>
      </w:r>
    </w:p>
    <w:p w14:paraId="19D8E76C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Use Case 1.7 — Cropland ALM Practice &amp; Credit Entry (new this phase):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Primary Actor: Carbon Project Developer. Secondary Actor: SQLite Project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Store. The developer enters baseline and project practice schedules 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lab-measured SOC samples for a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cropland_alm_vm0042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field; the system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validates completeness (falling back to zero credits with full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uncertainty if SOC data is incomplete rather than over-crediting), then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calculates and exports VM0042 credits. This use case follows the same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actor/store structure as 1.1–1.6 above; its dedicated diagram will be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added alongside the final SRS once the cropland UI stabilizes.</w:t>
      </w:r>
    </w:p>
    <w:p w14:paraId="39205533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3.2 Activity Diagram</w:t>
      </w:r>
    </w:p>
    <w:p w14:paraId="115DB3DC">
      <w:pPr>
        <w:pStyle w:val="FirstParagraph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The activity diagrams below trace the control flow behind each use case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level and were carried forward unchanged from the full SRS, since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rice AWD workflow they describe has not changed this phase.</w:t>
      </w:r>
    </w:p>
    <w:p w14:paraId="67BCBDE4">
      <w:pPr>
        <w:pStyle w:val="CaptionedFigure"/>
        <w:keepNext/>
      </w:pPr>
      <w:r>
        <w:drawing>
          <wp:inline distT="0" distB="0" distL="0" distR="0">
            <wp:extent cx="4276725" cy="7772400"/>
            <wp:effectExtent l="0" t="0" r="0" b="0"/>
            <wp:docPr id="100012" name="Picture 100012" descr="Fi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image100012" descr="Fig 1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FA18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11</w:t>
      </w:r>
    </w:p>
    <w:p w14:paraId="6DAF2864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11: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Terra-Audit (Activity — Use Case 1). The top-level flow: a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 is registered, analytics are run, credits are calculated according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to the field’s methodology path, and evidence is exported.</w:t>
      </w:r>
    </w:p>
    <w:p w14:paraId="5828C5B9">
      <w:pPr>
        <w:pStyle w:val="CaptionedFigure"/>
        <w:keepNext/>
      </w:pPr>
      <w:r>
        <w:drawing>
          <wp:inline distT="0" distB="0" distL="0" distR="0">
            <wp:extent cx="3495675" cy="7772400"/>
            <wp:effectExtent l="0" t="0" r="0" b="0"/>
            <wp:docPr id="100013" name="Picture 100013" descr="Fi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image100013" descr="Fig 1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71A9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12</w:t>
      </w:r>
    </w:p>
    <w:p w14:paraId="1EC0387F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12: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 Management (Activity — Use Case 1.1). Draw, upload, or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paste a boundary; validate; compute area; persist the field record.</w:t>
      </w:r>
    </w:p>
    <w:p w14:paraId="0D5CB736">
      <w:pPr>
        <w:pStyle w:val="CaptionedFigure"/>
        <w:keepNext/>
      </w:pPr>
      <w:r>
        <w:drawing>
          <wp:inline distT="0" distB="0" distL="0" distR="0">
            <wp:extent cx="4152900" cy="7772400"/>
            <wp:effectExtent l="0" t="0" r="0" b="0"/>
            <wp:docPr id="100014" name="Picture 100014" descr="Fi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image100014" descr="Fig 13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37EE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13</w:t>
      </w:r>
    </w:p>
    <w:p w14:paraId="48C8F61C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13: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Geometry Input &amp; Registration (Activity — Use Case 1.1.1).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The three input methods converge on a single validation and registration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path, so any input source produces an identical stored field record.</w:t>
      </w:r>
    </w:p>
    <w:p w14:paraId="77BFA3D3">
      <w:pPr>
        <w:pStyle w:val="CaptionedFigure"/>
        <w:keepNext/>
      </w:pPr>
      <w:r>
        <w:drawing>
          <wp:inline distT="0" distB="0" distL="0" distR="0">
            <wp:extent cx="2895600" cy="7772400"/>
            <wp:effectExtent l="0" t="0" r="0" b="0"/>
            <wp:docPr id="100015" name="Picture 100015" descr="Fi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image100015" descr="Fig 1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35C9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14</w:t>
      </w:r>
    </w:p>
    <w:p w14:paraId="4023D6BA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14: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Satellite Data Engine (Activity — Use Case 1.2). Check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cache; on a miss, query Earth Engine, compute derived indices, smooth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signal, and write the result back to the cache.</w:t>
      </w:r>
    </w:p>
    <w:p w14:paraId="10192DAB">
      <w:pPr>
        <w:pStyle w:val="CaptionedFigure"/>
        <w:keepNext/>
      </w:pPr>
      <w:r>
        <w:drawing>
          <wp:inline distT="0" distB="0" distL="0" distR="0">
            <wp:extent cx="3228975" cy="7772400"/>
            <wp:effectExtent l="0" t="0" r="0" b="0"/>
            <wp:docPr id="100016" name="Picture 100016" descr="Fi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image100016" descr="Fig 15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1951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15</w:t>
      </w:r>
    </w:p>
    <w:p w14:paraId="791B5102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15: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MRV Signal Analytics (Activity — Use Case 1.3). Standardize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VV into z-scores, flag flooded states, detect drydown events, extract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phenology, and — if an AI model is selected and trained — overwrite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rule-based flags with model predictions plus a confidence score.</w:t>
      </w:r>
    </w:p>
    <w:p w14:paraId="65B3385C">
      <w:pPr>
        <w:pStyle w:val="CaptionedFigure"/>
        <w:keepNext/>
      </w:pPr>
      <w:r>
        <w:drawing>
          <wp:inline distT="0" distB="0" distL="0" distR="0">
            <wp:extent cx="2514600" cy="7772400"/>
            <wp:effectExtent l="0" t="0" r="0" b="0"/>
            <wp:docPr id="100017" name="Picture 100017" descr="Fi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image100017" descr="Fig 16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5C5A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16</w:t>
      </w:r>
    </w:p>
    <w:p w14:paraId="11EDF12D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16: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Carbon Estimation (Activity — Use Case 1.4). Branches on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 type: the VM0051 QA3 steps (water scaling, uncertainty deduction,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N₂O penalty) for rice fields, or the VM0042 steps (SOC stock change,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default-factor emissions, uncertainty and buffer deduction) for cropland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fields; both paths floor final issuance at zero.</w:t>
      </w:r>
    </w:p>
    <w:p w14:paraId="611F57AB">
      <w:pPr>
        <w:pStyle w:val="CaptionedFigure"/>
        <w:keepNext/>
      </w:pPr>
      <w:r>
        <w:drawing>
          <wp:inline distT="0" distB="0" distL="0" distR="0">
            <wp:extent cx="5334000" cy="4524375"/>
            <wp:effectExtent l="0" t="0" r="0" b="0"/>
            <wp:docPr id="100018" name="Picture 100018" descr="Fi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image100018" descr="Fig 17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0CBC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17</w:t>
      </w:r>
    </w:p>
    <w:p w14:paraId="5E75DBF3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17: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Evidence Reporting (Activity — Use Case 1.5). Assemble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field, window, signal/practice, and carbon data into the PDF, JSON, 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CSV generators, then serve each as a browser download.</w:t>
      </w:r>
    </w:p>
    <w:p w14:paraId="5391D2D9">
      <w:pPr>
        <w:pStyle w:val="CaptionedFigure"/>
        <w:keepNext/>
      </w:pPr>
      <w:r>
        <w:drawing>
          <wp:inline distT="0" distB="0" distL="0" distR="0">
            <wp:extent cx="5334000" cy="6705600"/>
            <wp:effectExtent l="0" t="0" r="0" b="0"/>
            <wp:docPr id="100019" name="Picture 100019" descr="Fi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image100019" descr="Fig 18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070B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18</w:t>
      </w:r>
    </w:p>
    <w:p w14:paraId="1EBDF235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18: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AI Validation (Activity — Use Case 1.6). Build the labeled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dataset, engineer leakage-safe features, train both classifiers with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cross-validation, then evaluate and compare them.</w:t>
      </w:r>
    </w:p>
    <w:p w14:paraId="581F876E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For the cropland ALM path (use case 1.7), the equivalent activity flow is: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enter baseline and project practice schedules → validate completeness →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enter paired SOC lab samples (project vs. control site, start vs. final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timepoint) → validate sample count and remeasurement cadence → compute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SOC stock change and its scaled variance → compute default-factor N₂O,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biomass-burning, and fossil-fuel CO₂ deltas → apply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probability-of-exceedance uncertainty deduction → update the cumulative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non-permanence indicator → disclose the (currently unscreened) leakage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gap → floor final issuance at zero → export evidence.</w:t>
      </w:r>
    </w:p>
    <w:p w14:paraId="04AC4866">
      <w:pPr>
        <w:pageBreakBefore/>
        <w:spacing w:after="200"/>
      </w:pPr>
      <w:r>
        <w:lastRenderedPageBreak/>
      </w:r>
    </w:p>
    <w:p w14:paraId="47C04AF9">
      <w:pPr>
        <w:pStyle w:val="Heading1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  <w:t>4. Data &amp; Information Modeling</w:t>
      </w:r>
    </w:p>
    <w:p w14:paraId="0CD63C94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4.1 Entity-Relationship Diagram</w:t>
      </w:r>
    </w:p>
    <w:p w14:paraId="460FDEFD">
      <w:pPr>
        <w:pStyle w:val="FirstParagraph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Fields, cached time-series, and cropland ALM inputs are persisted in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SQLite at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data/project_store.db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; trained AI model artifacts are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persisted separately as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joblib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files under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data/ai_models/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.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diagram below reflects the current schema in full, including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alm_practice_schedule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soc_measurements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tables added this phase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for the cropland ALM path — the full SRS’s entity-relation diagram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predates these two tables and is superseded here.</w:t>
      </w:r>
    </w:p>
    <w:p w14:paraId="5E8C858C">
      <w:pPr>
        <w:pStyle w:val="CaptionedFigure"/>
        <w:keepNext/>
      </w:pPr>
      <w:r>
        <w:drawing>
          <wp:inline distT="0" distB="0" distL="0" distR="0">
            <wp:extent cx="5334000" cy="4400550"/>
            <wp:effectExtent l="0" t="0" r="0" b="0"/>
            <wp:docPr id="100020" name="Picture 100020" descr="Fi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image100020" descr="Fig 19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FB7C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19</w:t>
      </w:r>
    </w:p>
    <w:p w14:paraId="07430B0B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19: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Entity-Relationship Diagram (current schema).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fields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is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shared parent entity;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rice_awd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fields populate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timeseries_cache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only,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while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cropland_alm_vm0042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fields populate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alm_practice_schedule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soc_measurements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only, joined back to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fields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by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field_id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.</w:t>
      </w:r>
    </w:p>
    <w:p w14:paraId="03F50450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4.2 Database Schema</w:t>
      </w:r>
    </w:p>
    <w:tbl>
      <w:tblPr>
        <w:tblStyle w:val="Table"/>
        <w:tblW w:w="5000" w:type="pct"/>
        <w:jc w:val="left"/>
        <w:tblBorders>
          <w:top w:val="single" w:sz="4" w:space="0" w:color="4F81BD"/>
          <w:left w:val="single" w:sz="4" w:space="0" w:color="4F81BD"/>
          <w:bottom w:val="single"/>
          <w:right w:val="single" w:sz="4" w:space="0" w:color="4F81BD"/>
          <w:insideH w:val="single"/>
          <w:insideV w:val="single" w:sz="4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EACC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Table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595A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Key Columns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34BB6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Purpose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74930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fields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484DD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field_id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(PK),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name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district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geojson_geometry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area_ha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field_type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alm_cumulative_delta_co2_wp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DF4C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Field registry;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field_type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drives routing,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alm_cumulative_delta_co2_wp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tracks the cumulative SOC indicator across verification periods.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FD166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timeseries_cache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D1193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field_id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observation_date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window_start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window_end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(composite PK),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vv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vh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cross_ratio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rvi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5776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Cached Sentinel-1 observations, keyed to the exact monitoring window to prevent cross-window collisions.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4F06C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alm_practice_schedule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593D0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field_id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scenario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(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baseline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/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project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 composite PK)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2225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Crop type, rotation/cover-crop/intercropping flags, tillage, residue handling, synthetic/organic N rates, N-fixing residue, fuel use, and yield per scenario.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23544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soc_measurements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7EDA7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field_id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site_type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(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project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/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control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),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timepoint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(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t_start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/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t_final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),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sample_index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(composite PK),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soc_value_tco2e_ha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52F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Paired lab SOC samples feeding the VM0042 stock-change and uncertainty equations.</w:t>
            </w:r>
          </w:p>
        </w:tc>
      </w:tr>
    </w:tbl>
    <w:p w14:paraId="74A0680E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Schema migrations (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initialize_database()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src/database.py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) run at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module import time and are idempotent — each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ALTER TABLE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is wrapped in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 try/except so re-running the migration against an already-current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database is a no-op rather than an error.</w:t>
      </w:r>
    </w:p>
    <w:p w14:paraId="2E450A50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4.3 Dataset Description (AI-Assisted Detection)</w:t>
      </w:r>
    </w:p>
    <w:p w14:paraId="647A6934">
      <w:pPr>
        <w:pStyle w:val="FirstParagraph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The optional AI detector is trained on a dataset built by replaying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rule-based threshold gate over every cached rice field/window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time-series, not on externally labeled ground truth. Each row records: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raw and smoothed VV/VH, cross ratio, RVI, z-score and diff features,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days-since-window-start, district (one-hot), and a label of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dry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flooded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or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drydown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assigned by the gate. Feature construction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explicitly excludes the gate’s own decision flags to avoid label leakage.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Because labels originate from the gate itself, all reported model metrics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are framed as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agreement with the rule-based gate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not accuracy against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independently verified irrigation events.</w:t>
      </w:r>
    </w:p>
    <w:p w14:paraId="7E9DF670">
      <w:pPr>
        <w:pageBreakBefore/>
        <w:spacing w:after="200"/>
      </w:pPr>
      <w:r>
        <w:lastRenderedPageBreak/>
      </w:r>
    </w:p>
    <w:p w14:paraId="692A01A1">
      <w:pPr>
        <w:pStyle w:val="Heading1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  <w:t>5. Software Design</w:t>
      </w:r>
    </w:p>
    <w:p w14:paraId="14BF2053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5.1 Component Diagram</w:t>
      </w:r>
    </w:p>
    <w:p w14:paraId="2F6B9D06">
      <w:pPr>
        <w:pStyle w:val="FirstParagraph"/>
      </w:pP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app.py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reads a field’s stored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field_type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and dispatches through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FieldTypeRegistry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to one of two independent module stacks —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Sentinel-1-driven rice AWD stack, or the manual-entry cropland ALM stack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— sharing only the geometry, persistence, and reporting utilities. This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is a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Registry / Strategy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design: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register_field_type()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maps a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field_type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key to a detector factory, a methodology factory, and a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uses_sar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flag, so a third field type could be added later without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touching either existing path.</w:t>
      </w:r>
    </w:p>
    <w:p w14:paraId="5DCD6F78">
      <w:pPr>
        <w:pStyle w:val="CaptionedFigure"/>
        <w:keepNext/>
      </w:pPr>
      <w:r>
        <w:drawing>
          <wp:inline distT="0" distB="0" distL="0" distR="0">
            <wp:extent cx="5334000" cy="5076825"/>
            <wp:effectExtent l="0" t="0" r="0" b="0"/>
            <wp:docPr id="100021" name="Picture 100021" descr="Fi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image100021" descr="Fig 20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AED1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20</w:t>
      </w:r>
    </w:p>
    <w:p w14:paraId="4A7ECD35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20: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Component Diagram.</w:t>
      </w:r>
    </w:p>
    <w:tbl>
      <w:tblPr>
        <w:tblStyle w:val="Table"/>
        <w:tblW w:w="5000" w:type="pct"/>
        <w:jc w:val="left"/>
        <w:tblBorders>
          <w:top w:val="single" w:sz="4" w:space="0" w:color="4F81BD"/>
          <w:left w:val="single" w:sz="4" w:space="0" w:color="4F81BD"/>
          <w:bottom w:val="single"/>
          <w:right w:val="single" w:sz="4" w:space="0" w:color="4F81BD"/>
          <w:insideH w:val="single"/>
          <w:insideV w:val="single" w:sz="4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960"/>
        <w:gridCol w:w="3960"/>
      </w:tblGrid>
      <w:tr>
        <w:trPr>
          <w:cantSplit/>
          <w:tblHeader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8EF1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Component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9D9C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Responsibility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373C2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FieldTypeRegistry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1AE6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Maps a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field_type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key to its detector factory, methodology factory, and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uses_sar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flag; the single dispatch point for both paths.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F5921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SpatialDataEngine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/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AdaptiveAWDGate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FB6C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Rice path: Sentinel-1 retrieval and smoothing; AWD flood/drydown/phenology detection.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A31EF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CarbonAssetEngine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9215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Rice path: VM0051 QA3 credit calculation.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038A4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AlmPracticeValidator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/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AlmCarbonEngine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A5A0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Cropland path: practice/SOC completeness checks; VM0042 credit calculation.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046D6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GeoUtils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ProjectStore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32DD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Shared: boundary parsing/area computation; SQLite persistence for both paths.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7B6D9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ReportGenerator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2C0A3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Shared: PDF/JSON/CSV evidence export, with a parallel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_alm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variant of each generator for the cropland path.</w:t>
            </w:r>
          </w:p>
        </w:tc>
      </w:tr>
      <w:tr>
        <w:trPr>
          <w:cantSplit/>
        </w:trPr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115F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AI Detection Pipeline</w:t>
            </w:r>
          </w:p>
        </w:tc>
        <w:tc>
          <w:tcPr>
            <w:tcW w:w="50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D6C7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Rice path only: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DatasetBuilder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FeatureEngineer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ModelRegistry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AWDPredictor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ModelEvaluator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.</w:t>
            </w:r>
          </w:p>
        </w:tc>
      </w:tr>
    </w:tbl>
    <w:p w14:paraId="795811E4">
      <w:pPr>
        <w:pageBreakBefore/>
        <w:spacing w:after="200"/>
      </w:pPr>
      <w:r>
        <w:lastRenderedPageBreak/>
      </w:r>
    </w:p>
    <w:p w14:paraId="03D6A9B4">
      <w:pPr>
        <w:pStyle w:val="Heading1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  <w:t>6. AI Engineering Design</w:t>
      </w:r>
    </w:p>
    <w:p w14:paraId="0B44DDCE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6.1 AI Pipeline</w:t>
      </w:r>
    </w:p>
    <w:p w14:paraId="1894D18C">
      <w:pPr>
        <w:pStyle w:val="FirstParagraph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The AI pipeline applies only to the rice AWD path and augments, rather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than replaces, the rule-based gate:</w:t>
      </w:r>
    </w:p>
    <w:p w14:paraId="7FAFE5A4">
      <w:pPr>
        <w:pStyle w:val="Compact"/>
        <w:numPr>
          <w:ilvl w:val="0"/>
          <w:numId w:val="1006"/>
        </w:numPr>
        <w:ind w:left="720" w:hanging="480"/>
      </w:pP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DatasetBuilder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replays the threshold gate over every cached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field/window time-series and labels each observation.</w:t>
      </w:r>
    </w:p>
    <w:p w14:paraId="1FF5DD8F">
      <w:pPr>
        <w:pStyle w:val="Compact"/>
        <w:numPr>
          <w:ilvl w:val="0"/>
          <w:numId w:val="1006"/>
        </w:numPr>
        <w:ind w:left="720" w:hanging="480"/>
      </w:pP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FeatureEngineer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builds a leakage-safe feature matrix (raw/smoothed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backscatter, indices, days-since-sowing, district one-hots).</w:t>
      </w:r>
    </w:p>
    <w:p w14:paraId="03DCA3B8">
      <w:pPr>
        <w:pStyle w:val="Compact"/>
        <w:numPr>
          <w:ilvl w:val="0"/>
          <w:numId w:val="1006"/>
        </w:numPr>
        <w:ind w:left="720" w:hanging="480"/>
      </w:pP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ModelRegistry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trains Random Forest (200 trees, class-balanced) 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XGBoost (200 rounds, max depth 4) classifiers with stratified k-fold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cross-validation (falling back to plain k-fold for very small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classes) and persists trained bundles via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joblib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.</w:t>
      </w:r>
    </w:p>
    <w:p w14:paraId="571E5119">
      <w:pPr>
        <w:pStyle w:val="Compact"/>
        <w:numPr>
          <w:ilvl w:val="0"/>
          <w:numId w:val="1006"/>
        </w:numPr>
        <w:ind w:left="720" w:hanging="480"/>
      </w:pP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AWDPredictor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loads the selected model at analysis time, aligns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features to its training columns, and overwrites the gate’s flags with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model predictions plus a per-observation confidence score; it raises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FileNotFoundError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for an untrained model, which the UI catches to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fall back to the rule-based gate automatically.</w:t>
      </w:r>
    </w:p>
    <w:p w14:paraId="3B0CCC50">
      <w:pPr>
        <w:pStyle w:val="Compact"/>
        <w:numPr>
          <w:ilvl w:val="0"/>
          <w:numId w:val="1006"/>
        </w:numPr>
        <w:ind w:left="720" w:hanging="480"/>
      </w:pP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ModelEvaluator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reports precision/recall/F1, confusion matrices,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feature importance, and one-vs-rest ROC curves — all computed from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out-of-fold cross-validation predictions and explicitly framed as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agreement with the gate, not ground-truth accuracy.</w:t>
      </w:r>
    </w:p>
    <w:p w14:paraId="01BF9A4C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6.2 Model Selection</w:t>
      </w:r>
    </w:p>
    <w:p w14:paraId="452BE40C">
      <w:pPr>
        <w:pStyle w:val="FirstParagraph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Random Forest and XGBoost were chosen over deep-learning approaches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because the input is a small, structured, tabular feature set (not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imagery), where tree-ensemble methods are well-suited, computationally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cheap to retrain per district, and expose interpretable feature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importance — a property directly useful for auditor-facing explanations.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Both models are trained side by side with the same stratified k-fold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split so the AI Validation dashboard can compare them fairly and let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researcher pick the active detector per analysis run.</w:t>
      </w:r>
    </w:p>
    <w:p w14:paraId="45143704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6.3 Prompt Design</w:t>
      </w:r>
    </w:p>
    <w:p w14:paraId="1268E626">
      <w:pPr>
        <w:pStyle w:val="FirstParagraph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Not applicable. Terra-Audit’s AI component is a classical supervised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tabular classifier (Random Forest / XGBoost), not a large language model,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so there is no prompt template or generative pipeline to design.</w:t>
      </w:r>
    </w:p>
    <w:p w14:paraId="29B310B8">
      <w:pPr>
        <w:pageBreakBefore/>
        <w:spacing w:after="200"/>
      </w:pPr>
      <w:r>
        <w:lastRenderedPageBreak/>
      </w:r>
    </w:p>
    <w:p w14:paraId="1FD05336">
      <w:pPr>
        <w:pStyle w:val="Heading1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  <w:t>7. Preliminary Test Plan</w:t>
      </w:r>
    </w:p>
    <w:p w14:paraId="0ACF7856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7.1 Testing Objectives</w:t>
      </w:r>
    </w:p>
    <w:p w14:paraId="261FEC46">
      <w:pPr>
        <w:pStyle w:val="Compact"/>
        <w:numPr>
          <w:ilvl w:val="0"/>
          <w:numId w:val="1007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Verify that hard-coded emission factors and scaling constants in both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accounting engines match their cited methodology source (IPCC 2019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Refinement tables, VM0051/VM0042 equations, AR5 GWP values).</w:t>
      </w:r>
    </w:p>
    <w:p w14:paraId="19F41F3C">
      <w:pPr>
        <w:pStyle w:val="Compact"/>
        <w:numPr>
          <w:ilvl w:val="0"/>
          <w:numId w:val="1007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Verify edge-case handling: zero AWD events, zero area, the QA3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project-size gate, insufficient SOC data (must zero out with full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uncertainty rather than over-credit), and the leakage-disclosure flag.</w:t>
      </w:r>
    </w:p>
    <w:p w14:paraId="42AE685B">
      <w:pPr>
        <w:pStyle w:val="Compact"/>
        <w:numPr>
          <w:ilvl w:val="0"/>
          <w:numId w:val="1007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Verify that the ALM cumulative SOC indicator is computed across all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verification periods since project start, since it can flip a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positive current-period result to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“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no removals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”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if a prior deficit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dominates.</w:t>
      </w:r>
    </w:p>
    <w:p w14:paraId="73BBAD15">
      <w:pPr>
        <w:pStyle w:val="Compact"/>
        <w:numPr>
          <w:ilvl w:val="0"/>
          <w:numId w:val="1007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Verify a full golden-value scenario end to end for each engine against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hand-computed expected output.</w:t>
      </w:r>
    </w:p>
    <w:p w14:paraId="3C37C4D9">
      <w:pPr>
        <w:pStyle w:val="Compact"/>
        <w:numPr>
          <w:ilvl w:val="0"/>
          <w:numId w:val="1007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Validate, through manual UI walkthroughs, the parts of the system not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yet covered by automated tests: geometry upload/paste parsing, map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drawing, caching behavior, and the AI validation dashboard.</w:t>
      </w:r>
    </w:p>
    <w:p w14:paraId="52BD63DB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7.2 Features to be Tested</w:t>
      </w:r>
    </w:p>
    <w:tbl>
      <w:tblPr>
        <w:tblStyle w:val="Table"/>
        <w:tblW w:w="5000" w:type="pct"/>
        <w:jc w:val="left"/>
        <w:tblBorders>
          <w:top w:val="single" w:sz="4" w:space="0" w:color="4F81BD"/>
          <w:left w:val="single" w:sz="4" w:space="0" w:color="4F81BD"/>
          <w:bottom w:val="single"/>
          <w:right w:val="single" w:sz="4" w:space="0" w:color="4F81BD"/>
          <w:insideH w:val="single"/>
          <w:insideV w:val="single" w:sz="4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1980"/>
        <w:gridCol w:w="1980"/>
        <w:gridCol w:w="1980"/>
        <w:gridCol w:w="1980"/>
      </w:tblGrid>
      <w:tr>
        <w:trPr>
          <w:cantSplit/>
          <w:tblHeader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5780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Feature Area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0857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Test File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F1B5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Test Case (function)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8075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Expected Result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A7AB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Water scaling factor selection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43EDE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test_carbon_calculator.py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423D6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test_zero_awd_events_yields_no_reduction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test_single_drydown_uses_single_aeration_factor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test_true_awd_uses_corrected_scaling_factor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F5BC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SF_w = 1.00 / 0.71 / 0.55 for 0 / 1 / ≥2 drydowns respectively.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EEA6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Pre-season &amp; organic-amendment factors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40EE0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test_carbon_calculator.py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4493C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test_default_organic_amendment_scaling_matches_footnote_16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test_preseason_category_short_vs_long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test_custom_amendments_applied_per_scenario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E206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Defaults match VM0051 §8.2.3 footnote 16 and Table 5.13; user overrides apply per scenario.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92BC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QA3 size gate &amp; N₂O penalty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FC1C5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test_carbon_calculator.py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4E84F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test_qa3_project_size_gate_blocks_oversized_projects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test_qa3_gate_allows_typical_smallholder_field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test_zero_n_input_yields_zero_n2o_penalty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test_n2o_penalty_uses_gwp_n2o_and_cf_n2o_constants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3CA3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Issuance blocked above the 60,000 tCO₂e/yr gate; N₂O penalty uses CF_N2O = 0.00314, GWP_N2O = 265.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A5AD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Rice final issuance edge cases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18E08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test_carbon_calculator.py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EAE34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test_zero_area_does_not_raise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test_final_issuance_uses_symbolic_ch4_gwp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80A91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No exception on zero-area input; issuance uses AR5 GWP₁₀₀ = 28 for CH₄, floored at zero.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F2A7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VM0042 default-factor constants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B2A58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test_carbon_calculator_alm.py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4BBCA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test_diesel_ef_matches_vm0042_parameter_table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test_conservative_ef_direction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36BB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Fossil-fuel CO₂ factor matches the VM0042 parameter table; rounding is conservative (never over-credits).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AFB1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SOC readiness &amp; golden scenario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3DAF4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test_carbon_calculator_alm.py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C6735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test_soc_not_ready_falls_back_to_zero_with_full_uncertainty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test_full_scenario_golden_values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test_buffer_vcu_arithmetic_holds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8831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Incomplete SOC data yields zero credits at full uncertainty rather than an inflated estimate; a full scenario matches hand-computed values; buffer/VCU arithmetic is internally consistent.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64E9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Leakage disclosure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D61C6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test_carbon_calculator_alm.py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656B1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test_other_leakage_gap_is_disclosed_not_silently_zero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test_production_decline_leakage_unscreened_when_no_yield_data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test_production_decline_leakage_screens_clean_when_yield_maintained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test_production_decline_leakage_blocks_issuance_when_yield_declines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67E82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leakage_screened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is always an explicit flag, never silently assumed zero; a yield decline against baseline correctly blocks issuance.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CD3D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Cumulative non-permanence indicator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AC883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test_carbon_calculator_alm.py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2B36A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test_cumulative_indicator_persists_across_verification_periods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test_cumulative_indicator_can_flip_classification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,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test_remeasurement_cadence_validation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676E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The indicator accumulates across periods (not reset each run) and can flip an ER/CR classification; remeasurement cadence beyond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MAX_VERIFICATION_YEARS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= 5 is flagged.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6009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End-to-end fixture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53A26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test_carbon_calculator_alm.py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28BF5">
            <w:pPr>
              <w:pStyle w:val="Compact"/>
              <w:jc w:val="left"/>
            </w:pPr>
            <w:r>
              <w:rPr>
                <w:rStyle w:val="VerbatimChar"/>
                <w:rFonts w:ascii="Consolas" w:hAnsi="Consolas" w:eastAsia="Cambria" w:cs="Consolas" w:eastAsiaTheme="minorHAnsi" w:csTheme="minorBidi"/>
                <w:sz w:val="22"/>
                <w:szCs w:val="24"/>
              </w:rPr>
              <w:t>test_alm_end_to_end_ui_walkthrough_fixture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955F2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A regression fixture captured from a real first-data UI walkthrough reproduces the same output on every run.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4AF4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Geometry parsing &amp; area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2922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Manual UI walkthrough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5376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—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10719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GeoJSON/KML upload with malformed input returns a readable error; pasted coordinates below 3 points are rejected; Shoelace area matches a known reference polygon.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585E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Caching layer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E39D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Manual UI walkthrough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D156E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—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E2C5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A repeat analytics run on an already-cached field/window returns instantly without a live Earth Engine call.</w:t>
            </w:r>
          </w:p>
        </w:tc>
      </w:tr>
      <w:tr>
        <w:trPr>
          <w:cantSplit/>
        </w:trPr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E978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AI detection fallback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1739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Manual UI walkthrough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E582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—</w:t>
            </w:r>
          </w:p>
        </w:tc>
        <w:tc>
          <w:tcPr>
            <w:tcW w:w="25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A88D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Selecting an untrained model triggers the documented fallback to the rule-based gate with a visible message.</w:t>
            </w:r>
          </w:p>
        </w:tc>
      </w:tr>
    </w:tbl>
    <w:p w14:paraId="3F271AA5">
      <w:pPr>
        <w:pageBreakBefore/>
        <w:spacing w:after="200"/>
      </w:pPr>
      <w:r>
        <w:lastRenderedPageBreak/>
      </w:r>
    </w:p>
    <w:p w14:paraId="4654EAC5">
      <w:pPr>
        <w:pStyle w:val="Heading1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  <w:t>8. Timeline</w:t>
      </w:r>
    </w:p>
    <w:p w14:paraId="4505E884">
      <w:pPr>
        <w:pStyle w:val="Heading2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28"/>
          <w:szCs w:val="28"/>
        </w:rPr>
        <w:t>8.1 Gantt Chart</w:t>
      </w:r>
    </w:p>
    <w:p w14:paraId="30BDAC57">
      <w:pPr>
        <w:pStyle w:val="CaptionedFigure"/>
        <w:keepNext/>
      </w:pPr>
      <w:r>
        <w:drawing>
          <wp:inline distT="0" distB="0" distL="0" distR="0">
            <wp:extent cx="5334000" cy="3324225"/>
            <wp:effectExtent l="0" t="0" r="0" b="0"/>
            <wp:docPr id="100022" name="Picture 100022" descr="Fi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image100022" descr="Fig 2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9A17">
      <w:pPr>
        <w:pStyle w:val="Caption"/>
        <w:keepLines/>
      </w:pP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Fig 21</w:t>
      </w:r>
    </w:p>
    <w:p w14:paraId="0156EBE6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b/>
          <w:bCs/>
          <w:sz w:val="24"/>
          <w:szCs w:val="24"/>
        </w:rPr>
        <w:t>Fig 21: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Project Timeline (Gantt Chart).</w:t>
      </w:r>
    </w:p>
    <w:tbl>
      <w:tblPr>
        <w:tblStyle w:val="Table"/>
        <w:tblW w:w="5000" w:type="pct"/>
        <w:jc w:val="left"/>
        <w:tblBorders>
          <w:top w:val="single" w:sz="4" w:space="0" w:color="4F81BD"/>
          <w:left w:val="single" w:sz="4" w:space="0" w:color="4F81BD"/>
          <w:bottom w:val="single"/>
          <w:right w:val="single" w:sz="4" w:space="0" w:color="4F81BD"/>
          <w:insideH w:val="single"/>
          <w:insideV w:val="single" w:sz="4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B156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Phase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A5F38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Window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8F5C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Status at Midterm (2 Aug 2026)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2FBA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1. Inception &amp; Requirements Analysis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5E66F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17 May – 31 May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F93D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Complete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8657C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2. Data &amp; Signal Engine (SAR, caching, threshold gate)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5C86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24 May – 14 Jun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2AF6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Complete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2BB5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3. Carbon Calculation Engine (VM0051 QA3)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D2689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07 Jun – 28 Jun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BAD6B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Complete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E237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4. Dashboard UI &amp; Evidence Reporting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B11B1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14 Jun – 12 Jul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23CF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Complete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5B380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5. AI Validation Module &amp; Regression Testing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6758A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05 Jul – 31 Jul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ECBE5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Complete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7042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6. Methodology Audit &amp; Documentation (this report)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D595D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20 Jul – 09 Aug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13C14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In progress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6B676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7. Final Integration &amp; System Hardening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66E5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09 Aug – 23 Aug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62653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Planned</w:t>
            </w:r>
          </w:p>
        </w:tc>
      </w:tr>
      <w:tr>
        <w:trPr>
          <w:cantSplit/>
        </w:trPr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1DBA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8. Final Report &amp; Submission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E1FCC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23 Aug – 04 Sep</w:t>
            </w:r>
          </w:p>
        </w:tc>
        <w:tc>
          <w:tcPr>
            <w:tcW w:w="33" w:type="pct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60F67">
            <w:pPr>
              <w:pStyle w:val="Compact"/>
              <w:jc w:val="left"/>
            </w:pPr>
            <w:r>
              <w:rPr>
                <w:rFonts w:ascii="Cambria" w:hAnsi="Cambria" w:eastAsia="Cambria" w:cs="Cambria" w:asciiTheme="minorHAnsi" w:hAnsiTheme="minorHAnsi" w:eastAsiaTheme="minorHAnsi" w:csTheme="minorBidi"/>
                <w:sz w:val="24"/>
                <w:szCs w:val="24"/>
              </w:rPr>
              <w:t>Planned</w:t>
            </w:r>
          </w:p>
        </w:tc>
      </w:tr>
    </w:tbl>
    <w:p w14:paraId="2DF14315">
      <w:pPr>
        <w:pStyle w:val="BodyText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At the 2 August 2026 midterm checkpoint, the rice AWD path (VM0051) and the cropland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ALM path (VM0042) are both implemented, unit-tested, and wired into the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dashboard UI; remaining work is concentrated in final documentation, a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consolidated leakage-accounting pass for the ALM path, and end-to-end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system hardening ahead of final submission.</w:t>
      </w:r>
    </w:p>
    <w:p w14:paraId="39A53A83">
      <w:pPr>
        <w:pageBreakBefore/>
        <w:spacing w:after="200"/>
      </w:pPr>
      <w:r>
        <w:lastRenderedPageBreak/>
      </w:r>
    </w:p>
    <w:p w14:paraId="19E4ADCD">
      <w:pPr>
        <w:pStyle w:val="Heading1"/>
      </w:pPr>
      <w:r>
        <w:rPr>
          <w:rFonts w:ascii="Calibri" w:hAnsi="Calibri" w:cs="Calibri"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  <w:t>References</w:t>
      </w:r>
    </w:p>
    <w:p w14:paraId="3ECD8CAA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Verra,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VM0051 v1.0 — Methodology for Improved Management in Rice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Production Systems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27 February 2025. A copy is included in this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repository at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docs/VM0051v1_27Feb25.pdf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.</w:t>
      </w:r>
    </w:p>
    <w:p w14:paraId="078B7507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Verra,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VM0042 v2.2 — Methodology for Improved Agricultural Land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Management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. A copy is included in this repository at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methodologies/verra/vm0042/VM0042v2.2.pdf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.</w:t>
      </w:r>
    </w:p>
    <w:p w14:paraId="3182E6CE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IPCC,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2019 Refinement to the 2006 IPCC Guidelines for National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Greenhouse Gas Inventories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Volume 4 (Agriculture, Forestry 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Other Land Use), Chapter 5, Table 5.12 (water regime scaling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factors) and Table 5.13/5.14 (pre-season and organic-amendment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factors); Chapter 11, Table 11.1 (N₂O emission factors).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https://www.ipcc-nggip.iges.or.jp/public/2019rf/</w:t>
      </w:r>
    </w:p>
    <w:p w14:paraId="577C079A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IPCC,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Fifth Assessment Report (AR5), Climate Change 2013: The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Physical Science Basis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— 100-year Global Warming Potential values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(CH₄ = 28, N₂O = 265) used in both carbon estimation engines.</w:t>
      </w:r>
    </w:p>
    <w:p w14:paraId="42E1BB43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European Space Agency / Copernicus Programme,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Sentinel-1 SAR User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Guide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. https://sentinels.copernicus.eu/web/sentinel/user-guides/sentinel-1-sar</w:t>
      </w:r>
    </w:p>
    <w:p w14:paraId="795802E2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Google,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Google Earth Engine API Documentation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(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earthengine-api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dataset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eastAsia="Cambria" w:cs="Consolas" w:eastAsiaTheme="minorHAnsi" w:csTheme="minorBidi"/>
          <w:sz w:val="22"/>
          <w:szCs w:val="24"/>
        </w:rPr>
        <w:t>COPERNICUS/S1_GRD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). https://developers.google.com/earth-engine</w:t>
      </w:r>
    </w:p>
    <w:p w14:paraId="0485049B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R. Lampayan et al.,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“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Adoption and economics of alternate wetting and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drying water management for irrigated lowland rice,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”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Field Crops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Research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vol. 170, pp. 95–108, 2015 (background on AWD practice).</w:t>
      </w:r>
    </w:p>
    <w:p w14:paraId="632DA04F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A. Savitzky and M. J. E. Golay,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“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Smoothing and Differentiation of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Data by Simplified Least Squares Procedures,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”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Analytical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Chemistry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vol. 36, no. 8, pp. 1627–1639, 1964 (signal smoothing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filter used in the data engine).</w:t>
      </w:r>
    </w:p>
    <w:p w14:paraId="68B933E3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L. Breiman,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“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Random Forests,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”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Machine Learning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vol. 45, no. 1,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pp. 5–32, 2001.</w:t>
      </w:r>
    </w:p>
    <w:p w14:paraId="2EEF590F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T. Chen and C. Guestrin,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“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XGBoost: A Scalable Tree Boosting System,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”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Proceedings of the 22nd ACM SIGKDD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pp. 785–794, 2016.</w:t>
      </w:r>
    </w:p>
    <w:p w14:paraId="7138CF35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F. Pedregosa et al.,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“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Scikit-learn: Machine Learning in Python,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”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Journal of Machine Learning Research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vol. 12, pp. 2825–2830, 2011.</w:t>
      </w:r>
    </w:p>
    <w:p w14:paraId="6FDA1764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Streamlit Inc.,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Streamlit Documentation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. https://docs.streamlit.io</w:t>
      </w:r>
    </w:p>
    <w:p w14:paraId="56634BCE">
      <w:pPr>
        <w:pStyle w:val="Compact"/>
        <w:numPr>
          <w:ilvl w:val="0"/>
          <w:numId w:val="1008"/>
        </w:numPr>
        <w:ind w:left="720" w:hanging="480"/>
      </w:pP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R. S. Pressman and B. R. Maxim,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Software Engineering: A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i/>
          <w:iCs/>
          <w:sz w:val="24"/>
          <w:szCs w:val="24"/>
        </w:rPr>
        <w:t>Practitioner’s Approach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, 8th ed., McGraw-Hill, 2015 (requirements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Cambria" w:hAnsi="Cambria" w:eastAsia="Cambria" w:cs="Cambria" w:asciiTheme="minorHAnsi" w:hAnsiTheme="minorHAnsi" w:eastAsiaTheme="minorHAnsi" w:csTheme="minorBidi"/>
          <w:sz w:val="24"/>
          <w:szCs w:val="24"/>
        </w:rPr>
        <w:t>and design conventions followed in this document).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4F81BD"/>
        <w:insideV w:val="single" w:sz="4" w:space="0" w:color="4F81BD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CoverCenter">
    <w:name w:val="Cover Center"/>
    <w:basedOn w:val="Normal"/>
    <w:qFormat/>
    <w:pPr>
      <w:jc w:val="center"/>
    </w:pPr>
  </w:style>
  <w:style w:type="paragraph" w:customStyle="1" w:styleId="CoverRule">
    <w:name w:val="Cover Rule"/>
    <w:basedOn w:val="Normal"/>
    <w:qFormat/>
    <w:pPr>
      <w:jc w:val="center"/>
      <w:pBdr>
        <w:bottom w:val="single" w:sz="6" w:space="1" w:color="BFBFBF"/>
      </w:pBdr>
    </w:pPr>
  </w:style>
  <w:style w:type="character" w:customStyle="1" w:styleId="CoverRedHeader">
    <w:name w:val="Cover Red Header"/>
    <w:basedOn w:val="DefaultParagraphFont"/>
    <w:rPr>
      <w:b w:val="1"/>
      <w:color w:val="C00000"/>
      <w:sz w:val="22"/>
      <w:szCs w:val="22"/>
    </w:rPr>
  </w:style>
  <w:style w:type="character" w:customStyle="1" w:styleId="CoverSubtitleItalic">
    <w:name w:val="Cover Subtitle Italic"/>
    <w:basedOn w:val="DefaultParagraphFont"/>
    <w:rPr>
      <w:i w:val="1"/>
      <w:color w:val="333333"/>
      <w:sz w:val="22"/>
      <w:szCs w:val="22"/>
    </w:rPr>
  </w:style>
  <w:style w:type="character" w:customStyle="1" w:styleId="CoverTitleBlue">
    <w:name w:val="Cover Title Blue"/>
    <w:basedOn w:val="DefaultParagraphFont"/>
    <w:rPr>
      <w:b w:val="1"/>
      <w:color w:val="1155CC"/>
      <w:sz w:val="44"/>
      <w:szCs w:val="4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94" Target="media/rId94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2026-07-31T11:39:47Z</dcterms:created>
  <dcterms:modified xsi:type="dcterms:W3CDTF">2026-08-01T04:32:00.849Z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