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rPr>
          <w:b/>
        </w:rPr>
        <w:t xml:space="preserve">Floor plan</w:t>
      </w:r>
      <w:r>
        <w:drawing>
          <wp:inline>
            <wp:extent cx="3657600" cy="2743200"/>
            <wp:docPr id="1" name="Picture 1" descr="Warehouse floor plan"/>
            <a:graphic>
              <a:graphicData uri="http://schemas.openxmlformats.org/drawingml/2006/picture">
                <pic:pic>
                  <pic:nvPicPr>
                    <pic:cNvPr id="0" name="diagram.png" descr="Warehouse floor plan"/>
                    <pic:cNvPicPr/>
                  </pic:nvPicPr>
                  <pic:blipFill>
                    <a:blip r:embed="rId_diagrampng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Example Widgets Inc. moved packing next to the loading dock.</w:t>
      </w:r>
    </w:p>
    <w:tbl>
      <w:tblPr>
        <w:tblW w:w="0" w:type="auto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Zone</w:t>
            </w:r>
          </w:p>
        </w:tc>
        <w:tc>
          <w:tcPr>
            <w:tcW w:w="3000" w:type="dxa"/>
          </w:tcPr>
          <w:p>
            <w:r>
              <w:t xml:space="preserve">Layout</w:t>
            </w:r>
          </w:p>
        </w:tc>
      </w:tr>
      <w:tr>
        <w:tc>
          <w:tcPr>
            <w:tcW w:w="3000" w:type="dxa"/>
          </w:tcPr>
          <w:p>
            <w:r>
              <w:t xml:space="preserve">Packing</w:t>
            </w:r>
          </w:p>
        </w:tc>
        <w:tc>
          <w:tcPr>
            <w:tcW w:w="3000" w:type="dxa"/>
          </w:tcPr>
          <w:p>
            <w:r>
              <w:drawing>
                <wp:inline>
                  <wp:extent cx="3657600" cy="2743200"/>
                  <wp:docPr id="1" name="Picture 1" descr="Packing zone layout"/>
                  <a:graphic>
                    <a:graphicData uri="http://schemas.openxmlformats.org/drawingml/2006/picture">
                      <pic:pic>
                        <pic:nvPicPr>
                          <pic:cNvPr id="0" name="diagram.png" descr="Packing zone layout"/>
                          <pic:cNvPicPr/>
                        </pic:nvPicPr>
                        <pic:blipFill>
                          <a:blip r:embed="rId_diagrampn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Pick rates are reviewed monthly.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_diagrampng" Type="http://schemas.openxmlformats.org/officeDocument/2006/relationships/image" Target="media/diagram.png"/></Relationships>
</file>