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Lorem Ipsum </w:t>
      </w:r>
    </w:p>
    <w:p/>
    <w:tbl>
      <w:tblPr>
        <w:tblStyle w:val="TableGrid"/>
        <w:bidiVisual w:val="0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rFonts w:ascii="Calibri" w:hAnsi="Calibri"/>
                <w:b/>
                <w:i w:val="0"/>
                <w:sz w:val="16"/>
              </w:rPr>
              <w:t>Series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/>
                <w:i w:val="0"/>
                <w:sz w:val="16"/>
              </w:rPr>
              <w:t>2012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/>
                <w:i w:val="0"/>
                <w:sz w:val="16"/>
              </w:rPr>
              <w:t>2013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/>
                <w:i w:val="0"/>
                <w:sz w:val="16"/>
              </w:rPr>
              <w:t>2014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/>
                <w:i w:val="0"/>
                <w:sz w:val="16"/>
              </w:rPr>
              <w:t>2015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/>
                <w:i w:val="0"/>
                <w:sz w:val="16"/>
              </w:rPr>
              <w:t>2016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/>
                <w:i w:val="0"/>
                <w:sz w:val="16"/>
              </w:rPr>
              <w:t>2017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/>
                <w:i w:val="0"/>
                <w:sz w:val="16"/>
              </w:rPr>
              <w:t>Running Total</w:t>
            </w:r>
          </w:p>
        </w:tc>
      </w:tr>
      <w:tr>
        <w:tc>
          <w:tcPr>
            <w:tcW w:type="dxa" w:w="1080"/>
          </w:tcPr>
          <w:p>
            <w:r>
              <w:rPr>
                <w:rFonts w:ascii="Calibri" w:hAnsi="Calibri"/>
                <w:b w:val="0"/>
                <w:i w:val="0"/>
                <w:sz w:val="16"/>
              </w:rPr>
              <w:t>a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0.38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0.90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0.76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0.42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0.29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0.38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3.14</w:t>
            </w:r>
          </w:p>
        </w:tc>
      </w:tr>
      <w:tr>
        <w:tc>
          <w:tcPr>
            <w:tcW w:type="dxa" w:w="1080"/>
          </w:tcPr>
          <w:p>
            <w:r>
              <w:rPr>
                <w:rFonts w:ascii="Calibri" w:hAnsi="Calibri"/>
                <w:b w:val="0"/>
                <w:i w:val="0"/>
                <w:sz w:val="16"/>
              </w:rPr>
              <w:t>b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0.99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0.17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0.96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0.46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0.28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0.11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2.98</w:t>
            </w:r>
          </w:p>
        </w:tc>
      </w:tr>
      <w:tr>
        <w:tc>
          <w:tcPr>
            <w:tcW w:type="dxa" w:w="1080"/>
          </w:tcPr>
          <w:p>
            <w:r>
              <w:rPr>
                <w:rFonts w:ascii="Calibri" w:hAnsi="Calibri"/>
                <w:b w:val="0"/>
                <w:i w:val="0"/>
                <w:sz w:val="16"/>
              </w:rPr>
              <w:t>c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0.95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0.59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0.82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0.26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0.46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0.91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3.99</w:t>
            </w:r>
          </w:p>
        </w:tc>
      </w:tr>
      <w:tr>
        <w:tc>
          <w:tcPr>
            <w:tcW w:type="dxa" w:w="1080"/>
          </w:tcPr>
          <w:p>
            <w:r>
              <w:rPr>
                <w:rFonts w:ascii="Calibri" w:hAnsi="Calibri"/>
                <w:b w:val="0"/>
                <w:i w:val="0"/>
                <w:sz w:val="16"/>
              </w:rPr>
              <w:t>d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0.93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0.28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0.72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0.22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0.37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2.52</w:t>
            </w:r>
          </w:p>
        </w:tc>
      </w:tr>
      <w:tr>
        <w:tc>
          <w:tcPr>
            <w:tcW w:type="dxa" w:w="1080"/>
          </w:tcPr>
          <w:p>
            <w:r>
              <w:rPr>
                <w:rFonts w:ascii="Calibri" w:hAnsi="Calibri"/>
                <w:b w:val="0"/>
                <w:i w:val="0"/>
                <w:sz w:val="16"/>
              </w:rPr>
              <w:t>Annual Total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3.25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1.67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2.83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1.87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1.25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1.76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rFonts w:ascii="Calibri" w:hAnsi="Calibri"/>
                <w:b w:val="0"/>
                <w:i w:val="0"/>
                <w:sz w:val="16"/>
              </w:rPr>
              <w:t>12.63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