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051" w:rsidRDefault="00AF2FE5" w:rsidP="00B20549">
      <w:pPr>
        <w:pStyle w:val="Nadpis1"/>
        <w:spacing w:before="120" w:after="120"/>
      </w:pPr>
      <w:r>
        <w:t>Téma: Marketing</w:t>
      </w:r>
      <w:r w:rsidR="0070574F">
        <w:t xml:space="preserve"> (pro dobíjecí skříňky)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2299"/>
        <w:gridCol w:w="4283"/>
      </w:tblGrid>
      <w:tr w:rsidR="00AF2FE5" w:rsidTr="000D21B9">
        <w:trPr>
          <w:trHeight w:val="359"/>
          <w:jc w:val="center"/>
        </w:trPr>
        <w:tc>
          <w:tcPr>
            <w:tcW w:w="2299" w:type="dxa"/>
            <w:shd w:val="clear" w:color="auto" w:fill="B6DDE8" w:themeFill="accent5" w:themeFillTint="66"/>
          </w:tcPr>
          <w:p w:rsidR="00AF2FE5" w:rsidRDefault="00AF2FE5" w:rsidP="00AF2FE5">
            <w:r>
              <w:t>Autor</w:t>
            </w:r>
          </w:p>
        </w:tc>
        <w:tc>
          <w:tcPr>
            <w:tcW w:w="4283" w:type="dxa"/>
          </w:tcPr>
          <w:p w:rsidR="00AF2FE5" w:rsidRDefault="00AF2FE5" w:rsidP="00AF2FE5">
            <w:r>
              <w:t>Michal Hron (xhrom33)</w:t>
            </w:r>
          </w:p>
        </w:tc>
      </w:tr>
      <w:tr w:rsidR="00AF2FE5" w:rsidTr="000D21B9">
        <w:trPr>
          <w:trHeight w:val="760"/>
          <w:jc w:val="center"/>
        </w:trPr>
        <w:tc>
          <w:tcPr>
            <w:tcW w:w="2299" w:type="dxa"/>
            <w:shd w:val="clear" w:color="auto" w:fill="B6DDE8" w:themeFill="accent5" w:themeFillTint="66"/>
          </w:tcPr>
          <w:p w:rsidR="00AF2FE5" w:rsidRDefault="00AF2FE5" w:rsidP="00AF2FE5">
            <w:r>
              <w:t>Cvičení, tým</w:t>
            </w:r>
          </w:p>
        </w:tc>
        <w:tc>
          <w:tcPr>
            <w:tcW w:w="4283" w:type="dxa"/>
          </w:tcPr>
          <w:p w:rsidR="00AF2FE5" w:rsidRDefault="00AF2FE5" w:rsidP="00AF2FE5">
            <w:r>
              <w:t xml:space="preserve">Úterý 14:30, placení (Hušek) </w:t>
            </w:r>
          </w:p>
          <w:p w:rsidR="00AF2FE5" w:rsidRDefault="00AF2FE5" w:rsidP="00AF2FE5">
            <w:pPr>
              <w:pStyle w:val="Odstavecseseznamem"/>
              <w:numPr>
                <w:ilvl w:val="0"/>
                <w:numId w:val="1"/>
              </w:numPr>
            </w:pPr>
            <w:r>
              <w:t>Ty co rozhodně nechtěli marketing</w:t>
            </w:r>
          </w:p>
        </w:tc>
      </w:tr>
    </w:tbl>
    <w:p w:rsidR="006D1503" w:rsidRDefault="006D1503" w:rsidP="006D1503">
      <w:pPr>
        <w:pStyle w:val="Nadpis2"/>
      </w:pPr>
      <w:r>
        <w:t>Funkce marketingu</w:t>
      </w:r>
    </w:p>
    <w:p w:rsidR="006D1503" w:rsidRDefault="006D1503" w:rsidP="00B20549">
      <w:pPr>
        <w:spacing w:after="80"/>
      </w:pPr>
      <w:r>
        <w:t>Na jedné straně:</w:t>
      </w:r>
    </w:p>
    <w:p w:rsidR="004347A0" w:rsidRDefault="006D1503" w:rsidP="006D1503">
      <w:pPr>
        <w:pStyle w:val="Odstavecseseznamem"/>
        <w:numPr>
          <w:ilvl w:val="0"/>
          <w:numId w:val="1"/>
        </w:numPr>
      </w:pPr>
      <w:r>
        <w:t>Zjištěním potřeb a přání zákazníků</w:t>
      </w:r>
    </w:p>
    <w:p w:rsidR="006D1503" w:rsidRDefault="006D1503" w:rsidP="006D1503">
      <w:pPr>
        <w:pStyle w:val="Odstavecseseznamem"/>
        <w:numPr>
          <w:ilvl w:val="0"/>
          <w:numId w:val="1"/>
        </w:numPr>
      </w:pPr>
      <w:r>
        <w:t>Zvolením vhodného komunikačního kanálu / času / cílové skupiny zákazníků / atp.</w:t>
      </w:r>
    </w:p>
    <w:p w:rsidR="006D1503" w:rsidRDefault="006D1503" w:rsidP="00B20549">
      <w:pPr>
        <w:spacing w:after="80"/>
      </w:pPr>
      <w:r>
        <w:t>Na straně druhé i:</w:t>
      </w:r>
    </w:p>
    <w:p w:rsidR="006D1503" w:rsidRDefault="006D1503" w:rsidP="006D1503">
      <w:pPr>
        <w:pStyle w:val="Odstavecseseznamem"/>
        <w:numPr>
          <w:ilvl w:val="0"/>
          <w:numId w:val="2"/>
        </w:numPr>
      </w:pPr>
      <w:r>
        <w:t>Udržením kontaktu se zákazníkem</w:t>
      </w:r>
    </w:p>
    <w:p w:rsidR="006D1503" w:rsidRDefault="006D1503" w:rsidP="006D1503">
      <w:pPr>
        <w:pStyle w:val="Odstavecseseznamem"/>
        <w:numPr>
          <w:ilvl w:val="0"/>
          <w:numId w:val="2"/>
        </w:numPr>
      </w:pPr>
      <w:r>
        <w:t>Dodáním zboží</w:t>
      </w:r>
    </w:p>
    <w:p w:rsidR="006D1503" w:rsidRDefault="006D1503" w:rsidP="006D1503">
      <w:pPr>
        <w:pStyle w:val="Nadpis2"/>
      </w:pPr>
      <w:r>
        <w:t>Fáze marketingu</w:t>
      </w:r>
    </w:p>
    <w:p w:rsidR="004347A0" w:rsidRDefault="006D1503" w:rsidP="006D1503">
      <w:pPr>
        <w:pStyle w:val="Odstavecseseznamem"/>
        <w:numPr>
          <w:ilvl w:val="0"/>
          <w:numId w:val="3"/>
        </w:numPr>
      </w:pPr>
      <w:r>
        <w:t xml:space="preserve">Přípravná fáze – </w:t>
      </w:r>
      <w:r w:rsidR="00F73304">
        <w:t>průzkum trhu a analýza (kdy, co, pro koho, jak)</w:t>
      </w:r>
    </w:p>
    <w:p w:rsidR="00B40389" w:rsidRDefault="006D1503" w:rsidP="00B40389">
      <w:pPr>
        <w:pStyle w:val="Odstavecseseznamem"/>
        <w:numPr>
          <w:ilvl w:val="0"/>
          <w:numId w:val="3"/>
        </w:numPr>
      </w:pPr>
      <w:r>
        <w:t>Realizační fáze –</w:t>
      </w:r>
      <w:r w:rsidR="00F73304">
        <w:t xml:space="preserve"> </w:t>
      </w:r>
      <w:r w:rsidR="008F5AB1">
        <w:t>uvedení výrobku</w:t>
      </w:r>
      <w:r w:rsidR="003028A3">
        <w:t>, komunikace</w:t>
      </w:r>
      <w:r w:rsidR="00B40389">
        <w:t xml:space="preserve"> – kampaň</w:t>
      </w:r>
    </w:p>
    <w:p w:rsidR="006D1503" w:rsidRDefault="003028A3" w:rsidP="00B40389">
      <w:pPr>
        <w:pStyle w:val="Odstavecseseznamem"/>
        <w:numPr>
          <w:ilvl w:val="1"/>
          <w:numId w:val="3"/>
        </w:numPr>
      </w:pPr>
      <w:r>
        <w:t xml:space="preserve">marketingový mix – určení 4P: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, place, </w:t>
      </w:r>
      <w:proofErr w:type="spellStart"/>
      <w:r>
        <w:t>promotion</w:t>
      </w:r>
      <w:proofErr w:type="spellEnd"/>
    </w:p>
    <w:p w:rsidR="006D1503" w:rsidRDefault="006D1503" w:rsidP="006D1503">
      <w:pPr>
        <w:pStyle w:val="Odstavecseseznamem"/>
        <w:numPr>
          <w:ilvl w:val="0"/>
          <w:numId w:val="3"/>
        </w:numPr>
      </w:pPr>
      <w:r>
        <w:t xml:space="preserve">Kontrolní fáze – </w:t>
      </w:r>
      <w:r w:rsidR="008F5AB1">
        <w:t>zjišťování ukazatelů úspěšnosti (obratu, výrobku, firmy)</w:t>
      </w:r>
    </w:p>
    <w:p w:rsidR="006D1503" w:rsidRDefault="006D1503" w:rsidP="006D1503">
      <w:pPr>
        <w:pStyle w:val="Nadpis2"/>
      </w:pPr>
      <w:r>
        <w:t>SWOT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347A0" w:rsidTr="004347A0">
        <w:tc>
          <w:tcPr>
            <w:tcW w:w="4606" w:type="dxa"/>
            <w:shd w:val="clear" w:color="auto" w:fill="B6DDE8" w:themeFill="accent5" w:themeFillTint="66"/>
          </w:tcPr>
          <w:p w:rsidR="004347A0" w:rsidRDefault="004347A0" w:rsidP="00AF2FE5">
            <w:r>
              <w:t>S (silné stránky)</w:t>
            </w:r>
          </w:p>
        </w:tc>
        <w:tc>
          <w:tcPr>
            <w:tcW w:w="4606" w:type="dxa"/>
            <w:shd w:val="clear" w:color="auto" w:fill="B6DDE8" w:themeFill="accent5" w:themeFillTint="66"/>
          </w:tcPr>
          <w:p w:rsidR="004347A0" w:rsidRDefault="004347A0" w:rsidP="00AF2FE5">
            <w:r>
              <w:t>W (slabé stránky)</w:t>
            </w:r>
          </w:p>
        </w:tc>
      </w:tr>
      <w:tr w:rsidR="004347A0" w:rsidTr="004347A0">
        <w:tc>
          <w:tcPr>
            <w:tcW w:w="4606" w:type="dxa"/>
          </w:tcPr>
          <w:p w:rsidR="00295426" w:rsidRDefault="00295426" w:rsidP="0053427D">
            <w:pPr>
              <w:pStyle w:val="Odstavecseseznamem"/>
              <w:numPr>
                <w:ilvl w:val="0"/>
                <w:numId w:val="2"/>
              </w:numPr>
            </w:pPr>
            <w:r>
              <w:t>Originální nápad</w:t>
            </w:r>
          </w:p>
          <w:p w:rsidR="004347A0" w:rsidRDefault="0070399F" w:rsidP="0053427D">
            <w:pPr>
              <w:pStyle w:val="Odstavecseseznamem"/>
              <w:numPr>
                <w:ilvl w:val="0"/>
                <w:numId w:val="2"/>
              </w:numPr>
            </w:pPr>
            <w:r>
              <w:t>Ř</w:t>
            </w:r>
            <w:r w:rsidR="0053427D">
              <w:t>ešitelé</w:t>
            </w:r>
            <w:r>
              <w:t xml:space="preserve"> rozumí problematice projektu</w:t>
            </w:r>
          </w:p>
        </w:tc>
        <w:tc>
          <w:tcPr>
            <w:tcW w:w="4606" w:type="dxa"/>
          </w:tcPr>
          <w:p w:rsidR="00721292" w:rsidRDefault="0053427D" w:rsidP="00FE6222">
            <w:pPr>
              <w:pStyle w:val="Odstavecseseznamem"/>
              <w:numPr>
                <w:ilvl w:val="0"/>
                <w:numId w:val="2"/>
              </w:numPr>
            </w:pPr>
            <w:r>
              <w:t>Slabá zkušenost řešitelů s</w:t>
            </w:r>
            <w:r w:rsidR="00721292">
              <w:t> </w:t>
            </w:r>
            <w:r>
              <w:t>marketingem</w:t>
            </w:r>
          </w:p>
        </w:tc>
      </w:tr>
      <w:tr w:rsidR="004347A0" w:rsidTr="004347A0">
        <w:tc>
          <w:tcPr>
            <w:tcW w:w="4606" w:type="dxa"/>
            <w:shd w:val="clear" w:color="auto" w:fill="B6DDE8" w:themeFill="accent5" w:themeFillTint="66"/>
          </w:tcPr>
          <w:p w:rsidR="004347A0" w:rsidRDefault="004347A0" w:rsidP="00AF2FE5">
            <w:r>
              <w:t>O (příležitosti)</w:t>
            </w:r>
          </w:p>
        </w:tc>
        <w:tc>
          <w:tcPr>
            <w:tcW w:w="4606" w:type="dxa"/>
            <w:shd w:val="clear" w:color="auto" w:fill="B6DDE8" w:themeFill="accent5" w:themeFillTint="66"/>
          </w:tcPr>
          <w:p w:rsidR="004347A0" w:rsidRDefault="004347A0" w:rsidP="00AF2FE5">
            <w:r>
              <w:t>T (hrozby)</w:t>
            </w:r>
          </w:p>
        </w:tc>
      </w:tr>
      <w:tr w:rsidR="004347A0" w:rsidTr="004347A0">
        <w:tc>
          <w:tcPr>
            <w:tcW w:w="4606" w:type="dxa"/>
          </w:tcPr>
          <w:p w:rsidR="004347A0" w:rsidRDefault="00120AA2" w:rsidP="00120AA2">
            <w:pPr>
              <w:pStyle w:val="Odstavecseseznamem"/>
              <w:numPr>
                <w:ilvl w:val="0"/>
                <w:numId w:val="1"/>
              </w:numPr>
            </w:pPr>
            <w:r>
              <w:t>Oslovení správné skupiny potencionálních zákazníků</w:t>
            </w:r>
          </w:p>
          <w:p w:rsidR="000D21B9" w:rsidRDefault="000D21B9" w:rsidP="00120AA2">
            <w:pPr>
              <w:pStyle w:val="Odstavecseseznamem"/>
              <w:numPr>
                <w:ilvl w:val="0"/>
                <w:numId w:val="1"/>
              </w:numPr>
            </w:pPr>
            <w:r>
              <w:t>Určení vhodné ceny a místa</w:t>
            </w:r>
          </w:p>
          <w:p w:rsidR="00120AA2" w:rsidRDefault="00120AA2" w:rsidP="00120AA2">
            <w:pPr>
              <w:pStyle w:val="Odstavecseseznamem"/>
              <w:numPr>
                <w:ilvl w:val="0"/>
                <w:numId w:val="1"/>
              </w:numPr>
            </w:pPr>
            <w:r>
              <w:t>Zavedení businessu</w:t>
            </w:r>
          </w:p>
          <w:p w:rsidR="00120AA2" w:rsidRDefault="00FC2BCA" w:rsidP="00120AA2">
            <w:pPr>
              <w:pStyle w:val="Odstavecseseznamem"/>
              <w:numPr>
                <w:ilvl w:val="0"/>
                <w:numId w:val="1"/>
              </w:numPr>
            </w:pPr>
            <w:r>
              <w:t>Vyplnění poptávky zákazníků</w:t>
            </w:r>
          </w:p>
        </w:tc>
        <w:tc>
          <w:tcPr>
            <w:tcW w:w="4606" w:type="dxa"/>
          </w:tcPr>
          <w:p w:rsidR="004347A0" w:rsidRDefault="00120AA2" w:rsidP="00120AA2">
            <w:pPr>
              <w:pStyle w:val="Odstavecseseznamem"/>
              <w:numPr>
                <w:ilvl w:val="0"/>
                <w:numId w:val="1"/>
              </w:numPr>
            </w:pPr>
            <w:r>
              <w:t>Určení nesprávných marketingových otázek ve výzkumu</w:t>
            </w:r>
          </w:p>
          <w:p w:rsidR="00BF40CA" w:rsidRDefault="00BF40CA" w:rsidP="00BF40CA">
            <w:pPr>
              <w:pStyle w:val="Odstavecseseznamem"/>
              <w:numPr>
                <w:ilvl w:val="0"/>
                <w:numId w:val="1"/>
              </w:numPr>
              <w:ind w:hanging="49"/>
            </w:pPr>
            <w:r>
              <w:t>Nesprávné 4P</w:t>
            </w:r>
          </w:p>
          <w:p w:rsidR="00120AA2" w:rsidRDefault="00120AA2" w:rsidP="00120AA2">
            <w:pPr>
              <w:pStyle w:val="Odstavecseseznamem"/>
              <w:numPr>
                <w:ilvl w:val="0"/>
                <w:numId w:val="1"/>
              </w:numPr>
            </w:pPr>
            <w:r>
              <w:t>Určení nesprávných komunikačních kanálů</w:t>
            </w:r>
          </w:p>
          <w:p w:rsidR="00120AA2" w:rsidRDefault="0019730F" w:rsidP="00120AA2">
            <w:pPr>
              <w:pStyle w:val="Odstavecseseznamem"/>
              <w:numPr>
                <w:ilvl w:val="0"/>
                <w:numId w:val="1"/>
              </w:numPr>
            </w:pPr>
            <w:r>
              <w:t>Zdražování technologií</w:t>
            </w:r>
            <w:r w:rsidR="002460FD">
              <w:t xml:space="preserve"> (kurzové riziko)</w:t>
            </w:r>
          </w:p>
        </w:tc>
      </w:tr>
    </w:tbl>
    <w:p w:rsidR="004347A0" w:rsidRDefault="006D1503" w:rsidP="006D1503">
      <w:pPr>
        <w:pStyle w:val="Nadpis2"/>
      </w:pPr>
      <w:r>
        <w:t>Závěr</w:t>
      </w:r>
    </w:p>
    <w:p w:rsidR="006D1503" w:rsidRDefault="00E96068" w:rsidP="006D1503">
      <w:r>
        <w:t xml:space="preserve">Téma je </w:t>
      </w:r>
      <w:r w:rsidR="003608D2">
        <w:t>příliš obecné, SWOT analýzu lze dělat na každý komunikační kanál, na model B2C nebo B2B, proto v následujícím odstavci ještě popíšu tyto možnosti.</w:t>
      </w:r>
      <w:r w:rsidR="00950EC5">
        <w:t xml:space="preserve"> Též na základě průzkumu by vedení mělo rozhodnout o 4P –</w:t>
      </w:r>
      <w:r w:rsidR="005E2023">
        <w:t xml:space="preserve"> průzkum by zde mohlo být</w:t>
      </w:r>
      <w:r w:rsidR="00950EC5">
        <w:t xml:space="preserve"> hlasování na hodině nebo </w:t>
      </w:r>
      <w:r w:rsidR="00FA226E">
        <w:t>rozhodnutí vedení</w:t>
      </w:r>
      <w:r w:rsidR="00950EC5">
        <w:t>.</w:t>
      </w:r>
    </w:p>
    <w:p w:rsidR="00E96068" w:rsidRDefault="00AA61CE" w:rsidP="00E96068">
      <w:pPr>
        <w:spacing w:after="0"/>
      </w:pPr>
      <w:r w:rsidRPr="003A419C">
        <w:rPr>
          <w:b/>
        </w:rPr>
        <w:t>B2B vs. B2C</w:t>
      </w:r>
      <w:r>
        <w:t xml:space="preserve"> – řeší též „umístění skříněk“ – není třeba se rozhodovat pro jedno nebo druhé, </w:t>
      </w:r>
      <w:r w:rsidR="00E96068">
        <w:t>lze oboje.</w:t>
      </w:r>
    </w:p>
    <w:p w:rsidR="00E96068" w:rsidRDefault="00E96068" w:rsidP="00E96068">
      <w:pPr>
        <w:pStyle w:val="Odstavecseseznamem"/>
        <w:numPr>
          <w:ilvl w:val="0"/>
          <w:numId w:val="4"/>
        </w:numPr>
      </w:pPr>
      <w:r>
        <w:t xml:space="preserve">B2B – lze provozovat ve vlacích, bazénech, restauracích, atp. Je otázkou, </w:t>
      </w:r>
      <w:proofErr w:type="gramStart"/>
      <w:r>
        <w:t>zda-</w:t>
      </w:r>
      <w:proofErr w:type="spellStart"/>
      <w:r>
        <w:t>li</w:t>
      </w:r>
      <w:proofErr w:type="spellEnd"/>
      <w:r>
        <w:t xml:space="preserve"> je</w:t>
      </w:r>
      <w:proofErr w:type="gramEnd"/>
      <w:r>
        <w:t xml:space="preserve"> potřebná naše dobíjecí budka, pravděpodobně by bylo lepší</w:t>
      </w:r>
      <w:r w:rsidR="00CC4D69">
        <w:t>,</w:t>
      </w:r>
      <w:r>
        <w:t xml:space="preserve"> aby klient mohl zabudovat schránky dle svého a od nás čerpal jen know-how, SW, značku, podporu.</w:t>
      </w:r>
    </w:p>
    <w:p w:rsidR="00E96068" w:rsidRDefault="00E96068" w:rsidP="00E96068">
      <w:pPr>
        <w:pStyle w:val="Odstavecseseznamem"/>
        <w:numPr>
          <w:ilvl w:val="0"/>
          <w:numId w:val="4"/>
        </w:numPr>
      </w:pPr>
      <w:r>
        <w:t>B2C – naše budky na náměstích či festivalech</w:t>
      </w:r>
    </w:p>
    <w:p w:rsidR="00A52F03" w:rsidRDefault="00AA61CE" w:rsidP="006D1503">
      <w:r w:rsidRPr="003A419C">
        <w:rPr>
          <w:b/>
        </w:rPr>
        <w:t>Komunikační kanál</w:t>
      </w:r>
      <w:r w:rsidR="00DC1888">
        <w:rPr>
          <w:b/>
        </w:rPr>
        <w:t xml:space="preserve"> (P) propagace</w:t>
      </w:r>
      <w:r>
        <w:t xml:space="preserve"> – silně závisí na (P) cílové skupině a (P) penězíc</w:t>
      </w:r>
      <w:r w:rsidR="00A52F03">
        <w:t>h i (P) lokalitě.</w:t>
      </w:r>
    </w:p>
    <w:p w:rsidR="00A52F03" w:rsidRDefault="00A52F03" w:rsidP="00EC411A">
      <w:pPr>
        <w:pStyle w:val="Odstavecseseznamem"/>
        <w:numPr>
          <w:ilvl w:val="0"/>
          <w:numId w:val="5"/>
        </w:numPr>
      </w:pPr>
      <w:r>
        <w:lastRenderedPageBreak/>
        <w:t>B2B – lze oslovovat vybrané zákazníky, obstarat si propagační materiál,</w:t>
      </w:r>
      <w:r w:rsidR="00EC411A">
        <w:t xml:space="preserve"> výpočty návratnosti – konkurenční výhoda</w:t>
      </w:r>
      <w:bookmarkStart w:id="0" w:name="_GoBack"/>
      <w:bookmarkEnd w:id="0"/>
      <w:r w:rsidR="00EC411A">
        <w:t>,</w:t>
      </w:r>
      <w:r>
        <w:t xml:space="preserve"> ukázky. Případně kombinovat se strategií pro B2C: internetová reklama, </w:t>
      </w:r>
      <w:proofErr w:type="spellStart"/>
      <w:r>
        <w:t>word-of-mouth</w:t>
      </w:r>
      <w:proofErr w:type="spellEnd"/>
      <w:r>
        <w:t>.</w:t>
      </w:r>
    </w:p>
    <w:p w:rsidR="00AA61CE" w:rsidRDefault="00A52F03" w:rsidP="00A52F03">
      <w:pPr>
        <w:pStyle w:val="Odstavecseseznamem"/>
        <w:numPr>
          <w:ilvl w:val="0"/>
          <w:numId w:val="5"/>
        </w:numPr>
      </w:pPr>
      <w:r>
        <w:t xml:space="preserve">B2C – </w:t>
      </w:r>
      <w:r w:rsidR="00AA61CE">
        <w:t>počítám s mladšími lidmi</w:t>
      </w:r>
      <w:r w:rsidR="000C0BE9">
        <w:t xml:space="preserve">, tudíž bych </w:t>
      </w:r>
      <w:r w:rsidR="00DC1888">
        <w:t>navrhl</w:t>
      </w:r>
      <w:r w:rsidR="000C0BE9">
        <w:t xml:space="preserve"> tištěnou reklamu v okolí našich míst (billboard, plakáty), dále internetová reklama. </w:t>
      </w:r>
      <w:r w:rsidR="00DC1888">
        <w:t>Případně</w:t>
      </w:r>
      <w:r w:rsidR="000C0BE9">
        <w:t xml:space="preserve"> televizní</w:t>
      </w:r>
      <w:r w:rsidR="00DC1888">
        <w:t xml:space="preserve"> (silné uvedení)</w:t>
      </w:r>
      <w:r w:rsidR="000C0BE9">
        <w:t>.</w:t>
      </w:r>
      <w:r w:rsidR="00DC1888">
        <w:t xml:space="preserve"> Můžeme též spoléhat na originalitu a dobré zkušenosti s našimi produkty – tudíž samovolné šíření povědomí o nás.</w:t>
      </w:r>
    </w:p>
    <w:p w:rsidR="00D74F5F" w:rsidRPr="006D1503" w:rsidRDefault="000C0BE9" w:rsidP="006D1503">
      <w:r w:rsidRPr="00DC1888">
        <w:rPr>
          <w:b/>
        </w:rPr>
        <w:t>4P</w:t>
      </w:r>
      <w:r>
        <w:t xml:space="preserve"> –</w:t>
      </w:r>
      <w:r w:rsidR="00DC1888">
        <w:t xml:space="preserve"> dalším</w:t>
      </w:r>
      <w:r>
        <w:t xml:space="preserve"> určením se zabývají témata „umístění skříněk“ nebo „konkurence“.</w:t>
      </w:r>
      <w:r w:rsidR="00FF24E0">
        <w:t xml:space="preserve"> Závisí však na vedení.</w:t>
      </w:r>
      <w:r w:rsidR="00D74F5F">
        <w:t xml:space="preserve"> Ohledně ceny – většina konkurence nezpoplatňuje přímo tuto služby – což nahrává modelu B2B, případně výdělku z reklam. Nepochybně však, například na festivalech by se naše řešení mohlo uživit.</w:t>
      </w:r>
    </w:p>
    <w:sectPr w:rsidR="00D74F5F" w:rsidRPr="006D15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6054D"/>
    <w:multiLevelType w:val="hybridMultilevel"/>
    <w:tmpl w:val="0E9A72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F4C3F"/>
    <w:multiLevelType w:val="hybridMultilevel"/>
    <w:tmpl w:val="BA0CFD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D548A"/>
    <w:multiLevelType w:val="hybridMultilevel"/>
    <w:tmpl w:val="EF6480C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82A8CA3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9AD"/>
    <w:multiLevelType w:val="hybridMultilevel"/>
    <w:tmpl w:val="60FAEAA4"/>
    <w:lvl w:ilvl="0" w:tplc="82A8CA3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4C581880"/>
    <w:multiLevelType w:val="hybridMultilevel"/>
    <w:tmpl w:val="40D0B80E"/>
    <w:lvl w:ilvl="0" w:tplc="82A8CA3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FE5"/>
    <w:rsid w:val="000C0BE9"/>
    <w:rsid w:val="000D21B9"/>
    <w:rsid w:val="00120AA2"/>
    <w:rsid w:val="0019730F"/>
    <w:rsid w:val="002460FD"/>
    <w:rsid w:val="00295426"/>
    <w:rsid w:val="003028A3"/>
    <w:rsid w:val="003608D2"/>
    <w:rsid w:val="003A419C"/>
    <w:rsid w:val="004347A0"/>
    <w:rsid w:val="0053427D"/>
    <w:rsid w:val="005E2023"/>
    <w:rsid w:val="006D1503"/>
    <w:rsid w:val="0070399F"/>
    <w:rsid w:val="0070574F"/>
    <w:rsid w:val="00721292"/>
    <w:rsid w:val="00731395"/>
    <w:rsid w:val="008F5AB1"/>
    <w:rsid w:val="00950EC5"/>
    <w:rsid w:val="009A5051"/>
    <w:rsid w:val="00A52F03"/>
    <w:rsid w:val="00AA61CE"/>
    <w:rsid w:val="00AF2FE5"/>
    <w:rsid w:val="00B20549"/>
    <w:rsid w:val="00B40389"/>
    <w:rsid w:val="00BA2946"/>
    <w:rsid w:val="00BF40CA"/>
    <w:rsid w:val="00CC4D69"/>
    <w:rsid w:val="00D74F5F"/>
    <w:rsid w:val="00DC1888"/>
    <w:rsid w:val="00E96068"/>
    <w:rsid w:val="00EC411A"/>
    <w:rsid w:val="00F73304"/>
    <w:rsid w:val="00FA226E"/>
    <w:rsid w:val="00FC2BCA"/>
    <w:rsid w:val="00FE6222"/>
    <w:rsid w:val="00FF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F2F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D15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F2F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AF2F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AF2F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katabulky">
    <w:name w:val="Table Grid"/>
    <w:basedOn w:val="Normlntabulka"/>
    <w:uiPriority w:val="59"/>
    <w:rsid w:val="00AF2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AF2FE5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6D15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F2F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D15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F2F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AF2F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AF2F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katabulky">
    <w:name w:val="Table Grid"/>
    <w:basedOn w:val="Normlntabulka"/>
    <w:uiPriority w:val="59"/>
    <w:rsid w:val="00AF2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AF2FE5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6D15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379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35</cp:revision>
  <dcterms:created xsi:type="dcterms:W3CDTF">2015-10-03T22:13:00Z</dcterms:created>
  <dcterms:modified xsi:type="dcterms:W3CDTF">2015-10-04T17:36:00Z</dcterms:modified>
</cp:coreProperties>
</file>