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B4C6C" w14:textId="77777777" w:rsidR="000901D1" w:rsidRPr="000901D1" w:rsidRDefault="000901D1" w:rsidP="000901D1">
      <w:pPr>
        <w:rPr>
          <w:b/>
          <w:bCs/>
        </w:rPr>
      </w:pPr>
      <w:r w:rsidRPr="000901D1">
        <w:rPr>
          <w:b/>
          <w:bCs/>
        </w:rPr>
        <w:t>OPS-11 — Data Residency &amp; Sovereignty Controls</w:t>
      </w:r>
    </w:p>
    <w:p w14:paraId="149F8D8D" w14:textId="77777777" w:rsidR="000901D1" w:rsidRPr="000901D1" w:rsidRDefault="000901D1" w:rsidP="000901D1">
      <w:r w:rsidRPr="000901D1">
        <w:rPr>
          <w:b/>
          <w:bCs/>
        </w:rPr>
        <w:t>Intent</w:t>
      </w:r>
      <w:r w:rsidRPr="000901D1">
        <w:br/>
        <w:t xml:space="preserve">Pin tenant data to a </w:t>
      </w:r>
      <w:r w:rsidRPr="000901D1">
        <w:rPr>
          <w:b/>
          <w:bCs/>
        </w:rPr>
        <w:t>region</w:t>
      </w:r>
      <w:r w:rsidRPr="000901D1">
        <w:t>, ensure processing stays in-region (storage, backups, logs, analytics).</w:t>
      </w:r>
    </w:p>
    <w:p w14:paraId="4806042F" w14:textId="77777777" w:rsidR="000901D1" w:rsidRPr="000901D1" w:rsidRDefault="000901D1" w:rsidP="000901D1">
      <w:r w:rsidRPr="000901D1">
        <w:rPr>
          <w:b/>
          <w:bCs/>
        </w:rPr>
        <w:t>Preconditions</w:t>
      </w:r>
    </w:p>
    <w:p w14:paraId="29DB4E20" w14:textId="77777777" w:rsidR="000901D1" w:rsidRPr="000901D1" w:rsidRDefault="000901D1" w:rsidP="000901D1">
      <w:pPr>
        <w:numPr>
          <w:ilvl w:val="0"/>
          <w:numId w:val="1"/>
        </w:numPr>
      </w:pPr>
      <w:r w:rsidRPr="000901D1">
        <w:t>Supported regions list (e.g., EU, India, US).</w:t>
      </w:r>
    </w:p>
    <w:p w14:paraId="5D50ED4D" w14:textId="77777777" w:rsidR="000901D1" w:rsidRPr="000901D1" w:rsidRDefault="000901D1" w:rsidP="000901D1">
      <w:pPr>
        <w:numPr>
          <w:ilvl w:val="0"/>
          <w:numId w:val="1"/>
        </w:numPr>
      </w:pPr>
      <w:r w:rsidRPr="000901D1">
        <w:t>Region-aware storage &amp; KMS.</w:t>
      </w:r>
    </w:p>
    <w:p w14:paraId="04AC8E59" w14:textId="77777777" w:rsidR="000901D1" w:rsidRPr="000901D1" w:rsidRDefault="000901D1" w:rsidP="000901D1">
      <w:r w:rsidRPr="000901D1">
        <w:rPr>
          <w:b/>
          <w:bCs/>
        </w:rPr>
        <w:t>Flow</w:t>
      </w:r>
    </w:p>
    <w:p w14:paraId="6ADDAAF8" w14:textId="77777777" w:rsidR="000901D1" w:rsidRPr="000901D1" w:rsidRDefault="000901D1" w:rsidP="000901D1">
      <w:pPr>
        <w:numPr>
          <w:ilvl w:val="0"/>
          <w:numId w:val="2"/>
        </w:numPr>
      </w:pPr>
      <w:r w:rsidRPr="000901D1">
        <w:rPr>
          <w:b/>
          <w:bCs/>
        </w:rPr>
        <w:t>Policy</w:t>
      </w:r>
      <w:r w:rsidRPr="000901D1">
        <w:t>: per-tenant data_region flag; enforcement matrix (storage, compute, logs, backups).</w:t>
      </w:r>
    </w:p>
    <w:p w14:paraId="54F4E69A" w14:textId="77777777" w:rsidR="000901D1" w:rsidRPr="000901D1" w:rsidRDefault="000901D1" w:rsidP="000901D1">
      <w:pPr>
        <w:numPr>
          <w:ilvl w:val="0"/>
          <w:numId w:val="2"/>
        </w:numPr>
      </w:pPr>
      <w:r w:rsidRPr="000901D1">
        <w:rPr>
          <w:b/>
          <w:bCs/>
        </w:rPr>
        <w:t>Provision</w:t>
      </w:r>
      <w:r w:rsidRPr="000901D1">
        <w:t>: allocate region-specific buckets, DBs, KMS keys; tag all artifacts with tenant_id, region.</w:t>
      </w:r>
    </w:p>
    <w:p w14:paraId="523F7B2F" w14:textId="77777777" w:rsidR="000901D1" w:rsidRPr="000901D1" w:rsidRDefault="000901D1" w:rsidP="000901D1">
      <w:pPr>
        <w:numPr>
          <w:ilvl w:val="0"/>
          <w:numId w:val="2"/>
        </w:numPr>
      </w:pPr>
      <w:r w:rsidRPr="000901D1">
        <w:rPr>
          <w:b/>
          <w:bCs/>
        </w:rPr>
        <w:t>Processor geofencing</w:t>
      </w:r>
      <w:r w:rsidRPr="000901D1">
        <w:t>: workers pick jobs only for their region; cross-region calls blocked by policy.</w:t>
      </w:r>
    </w:p>
    <w:p w14:paraId="6865A0B9" w14:textId="77777777" w:rsidR="000901D1" w:rsidRPr="000901D1" w:rsidRDefault="000901D1" w:rsidP="000901D1">
      <w:pPr>
        <w:numPr>
          <w:ilvl w:val="0"/>
          <w:numId w:val="2"/>
        </w:numPr>
      </w:pPr>
      <w:r w:rsidRPr="000901D1">
        <w:rPr>
          <w:b/>
          <w:bCs/>
        </w:rPr>
        <w:t>Backups &amp; DR</w:t>
      </w:r>
      <w:r w:rsidRPr="000901D1">
        <w:t>: secondary within same legal zone (e.g., EU-to-EU).</w:t>
      </w:r>
    </w:p>
    <w:p w14:paraId="1DD3D391" w14:textId="77777777" w:rsidR="000901D1" w:rsidRPr="000901D1" w:rsidRDefault="000901D1" w:rsidP="000901D1">
      <w:pPr>
        <w:numPr>
          <w:ilvl w:val="0"/>
          <w:numId w:val="2"/>
        </w:numPr>
      </w:pPr>
      <w:r w:rsidRPr="000901D1">
        <w:rPr>
          <w:b/>
          <w:bCs/>
        </w:rPr>
        <w:t>Telemetry</w:t>
      </w:r>
      <w:r w:rsidRPr="000901D1">
        <w:t>: metrics/logs shipped to region-local sinks; cross-region aggregation via anonymized rollups only.</w:t>
      </w:r>
    </w:p>
    <w:p w14:paraId="62682CE7" w14:textId="77777777" w:rsidR="000901D1" w:rsidRPr="000901D1" w:rsidRDefault="000901D1" w:rsidP="000901D1">
      <w:pPr>
        <w:numPr>
          <w:ilvl w:val="0"/>
          <w:numId w:val="2"/>
        </w:numPr>
      </w:pPr>
      <w:r w:rsidRPr="000901D1">
        <w:rPr>
          <w:b/>
          <w:bCs/>
        </w:rPr>
        <w:t>Attestation</w:t>
      </w:r>
      <w:r w:rsidRPr="000901D1">
        <w:t xml:space="preserve">: export a </w:t>
      </w:r>
      <w:r w:rsidRPr="000901D1">
        <w:rPr>
          <w:b/>
          <w:bCs/>
        </w:rPr>
        <w:t>Residency Proof Report</w:t>
      </w:r>
      <w:r w:rsidRPr="000901D1">
        <w:t xml:space="preserve"> for auditors.</w:t>
      </w:r>
    </w:p>
    <w:p w14:paraId="518F81D8" w14:textId="77777777" w:rsidR="000901D1" w:rsidRPr="000901D1" w:rsidRDefault="000901D1" w:rsidP="000901D1">
      <w:r w:rsidRPr="000901D1">
        <w:rPr>
          <w:b/>
          <w:bCs/>
        </w:rPr>
        <w:t>Edge cases</w:t>
      </w:r>
    </w:p>
    <w:p w14:paraId="097512D7" w14:textId="77777777" w:rsidR="000901D1" w:rsidRPr="000901D1" w:rsidRDefault="000901D1" w:rsidP="000901D1">
      <w:pPr>
        <w:numPr>
          <w:ilvl w:val="0"/>
          <w:numId w:val="3"/>
        </w:numPr>
      </w:pPr>
      <w:r w:rsidRPr="000901D1">
        <w:t>Feature unavailable in region → feature flag off with banner.</w:t>
      </w:r>
    </w:p>
    <w:p w14:paraId="6B606DA3" w14:textId="77777777" w:rsidR="000901D1" w:rsidRPr="000901D1" w:rsidRDefault="000901D1" w:rsidP="000901D1">
      <w:pPr>
        <w:numPr>
          <w:ilvl w:val="0"/>
          <w:numId w:val="3"/>
        </w:numPr>
      </w:pPr>
      <w:r w:rsidRPr="000901D1">
        <w:t>Tenant region change → migration playbook (see OPS-12).</w:t>
      </w:r>
    </w:p>
    <w:p w14:paraId="6D5AF482" w14:textId="77777777" w:rsidR="000901D1" w:rsidRPr="000901D1" w:rsidRDefault="000901D1" w:rsidP="000901D1">
      <w:r w:rsidRPr="000901D1">
        <w:rPr>
          <w:b/>
          <w:bCs/>
        </w:rPr>
        <w:t>Done when</w:t>
      </w:r>
    </w:p>
    <w:p w14:paraId="55630773" w14:textId="77777777" w:rsidR="000901D1" w:rsidRPr="000901D1" w:rsidRDefault="000901D1" w:rsidP="000901D1">
      <w:pPr>
        <w:numPr>
          <w:ilvl w:val="0"/>
          <w:numId w:val="4"/>
        </w:numPr>
      </w:pPr>
      <w:r w:rsidRPr="000901D1">
        <w:t>Writes/reads/copies rejected outside region; backups &amp; logs validated in-region; Residency Proof Report downloadable.</w:t>
      </w:r>
    </w:p>
    <w:p w14:paraId="44B9DA3A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1292C"/>
    <w:multiLevelType w:val="multilevel"/>
    <w:tmpl w:val="56C6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B6197"/>
    <w:multiLevelType w:val="multilevel"/>
    <w:tmpl w:val="5F78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972F5"/>
    <w:multiLevelType w:val="multilevel"/>
    <w:tmpl w:val="D42C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661F1"/>
    <w:multiLevelType w:val="multilevel"/>
    <w:tmpl w:val="445C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156199">
    <w:abstractNumId w:val="2"/>
  </w:num>
  <w:num w:numId="2" w16cid:durableId="142553281">
    <w:abstractNumId w:val="3"/>
  </w:num>
  <w:num w:numId="3" w16cid:durableId="1329863454">
    <w:abstractNumId w:val="1"/>
  </w:num>
  <w:num w:numId="4" w16cid:durableId="22079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75"/>
    <w:rsid w:val="000901D1"/>
    <w:rsid w:val="001D3161"/>
    <w:rsid w:val="004E524C"/>
    <w:rsid w:val="007522F6"/>
    <w:rsid w:val="008204BE"/>
    <w:rsid w:val="00F5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99F3"/>
  <w15:chartTrackingRefBased/>
  <w15:docId w15:val="{30DBED32-D54B-4BB1-B454-88A2A7FE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7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7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7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7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7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2025-09-21T05:40:00Z</dcterms:created>
  <dcterms:modified xsi:type="dcterms:W3CDTF">2025-09-21T05:40:00Z</dcterms:modified>
</cp:coreProperties>
</file>