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PRD-34 — Lab and QA Results Linkage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Bind laboratory/QA results (e.g., chemical assays, performance tests, safety marks) to product versions and lots; surface pass/fail and expiry into decisions and DPP/EPR.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Document vault with hashing; certificate types &amp; schemas; PRD-17 serial/lot enabled where needed.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Ingest: upload lab reports; virus scan; compute File Hash Receipt.</w:t>
      </w:r>
    </w:p>
    <w:p>
      <w:r>
        <w:rPr>
          <w:sz w:val="22"/>
        </w:rPr>
        <w:t xml:space="preserve">• AI Parse (advisory): extract key measurements, standards, limits; show Evidence Tiles with page refs.</w:t>
      </w:r>
    </w:p>
    <w:p>
      <w:r>
        <w:rPr>
          <w:sz w:val="22"/>
        </w:rPr>
        <w:t xml:space="preserve">• Bind &amp; Validate: link to ProductVersion/lot; validate test scope matches product scope and standard version.</w:t>
      </w:r>
    </w:p>
    <w:p>
      <w:r>
        <w:rPr>
          <w:sz w:val="22"/>
        </w:rPr>
        <w:t xml:space="preserve">• Verdict: pass/warn/fail with WHY; expiry (re-test date) set; badges on product/lot header.</w:t>
      </w:r>
    </w:p>
    <w:p>
      <w:r>
        <w:rPr>
          <w:sz w:val="22"/>
        </w:rPr>
        <w:t xml:space="preserve">• Hooks: failed/expired results trigger HOLD on new use; DPP/EPR packs pull current pass status; proofs included.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Conflicting results from different labs → require reviewer resolution and note; most-restrictive wins until resolved.</w:t>
      </w:r>
    </w:p>
    <w:p>
      <w:r>
        <w:rPr>
          <w:sz w:val="22"/>
        </w:rPr>
        <w:t xml:space="preserve">• Partial-lot testing → mark covered range explicitly.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Every referenced test is hash-tracked, version-bound, and exposes a clear verdict influencing downstream flows.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