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 xml:space="preserve">PRD-37 — EU SCIP &amp; SVHC Management</w:t>
      </w:r>
    </w:p>
    <w:p>
      <w:r>
        <w:t xml:space="preserve"/>
      </w:r>
    </w:p>
    <w:p>
      <w:r>
        <w:rPr>
          <w:b/>
          <w:sz w:val="24"/>
        </w:rPr>
        <w:t xml:space="preserve">Intent</w:t>
      </w:r>
    </w:p>
    <w:p>
      <w:r>
        <w:rPr>
          <w:sz w:val="22"/>
        </w:rPr>
        <w:t xml:space="preserve">Track substances of very high concern (SVHC) across products/BOM, prepare EU SCIP notifications, and ship auditable evidence without slowing normal catalog work.</w:t>
      </w:r>
    </w:p>
    <w:p>
      <w:r>
        <w:t xml:space="preserve"/>
      </w:r>
    </w:p>
    <w:p>
      <w:r>
        <w:rPr>
          <w:b/>
          <w:sz w:val="24"/>
        </w:rPr>
        <w:t xml:space="preserve">Preconditions</w:t>
      </w:r>
    </w:p>
    <w:p>
      <w:r>
        <w:rPr>
          <w:sz w:val="22"/>
        </w:rPr>
        <w:t xml:space="preserve">• Product BOM structure available (PRD-05).</w:t>
      </w:r>
    </w:p>
    <w:p>
      <w:r>
        <w:rPr>
          <w:sz w:val="22"/>
        </w:rPr>
        <w:t xml:space="preserve">• Supplier linkage and certificate hub active (PRD-21).</w:t>
      </w:r>
    </w:p>
    <w:p>
      <w:r>
        <w:rPr>
          <w:sz w:val="22"/>
        </w:rPr>
        <w:t xml:space="preserve">• Attachment vault with hashing (PRD-11) and lab/QA linkage (PRD-34).</w:t>
      </w:r>
    </w:p>
    <w:p>
      <w:r>
        <w:rPr>
          <w:sz w:val="22"/>
        </w:rPr>
        <w:t xml:space="preserve">• SVHC list snapshot service (jurisdiction-aware) and trust-stamped snapshots.</w:t>
      </w:r>
    </w:p>
    <w:p>
      <w:r>
        <w:t xml:space="preserve"/>
      </w:r>
    </w:p>
    <w:p>
      <w:r>
        <w:rPr>
          <w:b/>
          <w:sz w:val="24"/>
        </w:rPr>
        <w:t xml:space="preserve">Steps</w:t>
      </w:r>
    </w:p>
    <w:p>
      <w:r>
        <w:rPr>
          <w:sz w:val="22"/>
        </w:rPr>
        <w:t xml:space="preserve">• Scope &amp; Overlay: enable the SVHC overlay for target jurisdictions (EU by default); fetch latest SVHC snapshot and cache snapshot_id.</w:t>
      </w:r>
    </w:p>
    <w:p>
      <w:r>
        <w:rPr>
          <w:sz w:val="22"/>
        </w:rPr>
        <w:t xml:space="preserve">• Data Capture: per component, store substance presence (yes/no/unknown), concentration ranges, article-as-such threshold applicability, and supporting docs (lab reports, supplier declarations).</w:t>
      </w:r>
    </w:p>
    <w:p>
      <w:r>
        <w:rPr>
          <w:sz w:val="22"/>
        </w:rPr>
        <w:t xml:space="preserve">• AI Assist (advisory): parse MSDS/CoC to propose substance flags with cited page snippets; reviewer approves or edits.</w:t>
      </w:r>
    </w:p>
    <w:p>
      <w:r>
        <w:rPr>
          <w:sz w:val="22"/>
        </w:rPr>
        <w:t xml:space="preserve">• Roll-up Logic: compute product-level SVHC presence from components; mark article thresholds and exemptions; flag kits via most-restrictive logic.</w:t>
      </w:r>
    </w:p>
    <w:p>
      <w:r>
        <w:rPr>
          <w:sz w:val="22"/>
        </w:rPr>
        <w:t xml:space="preserve">• SCIP Package Build: for SVHC&gt;0 products, assemble SCIP payload (product identifiers, article category, SVHC identity/concentration range, safe-use info); sign and store a SCIP Package Receipt (hash + time + signer).</w:t>
      </w:r>
    </w:p>
    <w:p>
      <w:r>
        <w:rPr>
          <w:sz w:val="22"/>
        </w:rPr>
        <w:t xml:space="preserve">• Publish &amp; Track: optionally push to the importer’s/representative’s registry endpoint; store registry response and status; expose per-product SCIP badge and next-review date.</w:t>
      </w:r>
    </w:p>
    <w:p>
      <w:r>
        <w:rPr>
          <w:sz w:val="22"/>
        </w:rPr>
        <w:t xml:space="preserve">• Change Hooks: on new SVHC snapshot or BOM/component change, create SCIP Pending Update and emit ImpactDelta with WHY (new substance added/threshold crossed).</w:t>
      </w:r>
    </w:p>
    <w:p>
      <w:r>
        <w:t xml:space="preserve"/>
      </w:r>
    </w:p>
    <w:p>
      <w:r>
        <w:rPr>
          <w:b/>
          <w:sz w:val="24"/>
        </w:rPr>
        <w:t xml:space="preserve">Edge cases</w:t>
      </w:r>
    </w:p>
    <w:p>
      <w:r>
        <w:rPr>
          <w:sz w:val="22"/>
        </w:rPr>
        <w:t xml:space="preserve">• Unknown data from suppliers → quarantine the component and open a targeted request with the exact missing fields.</w:t>
      </w:r>
    </w:p>
    <w:p>
      <w:r>
        <w:rPr>
          <w:sz w:val="22"/>
        </w:rPr>
        <w:t xml:space="preserve">• Conflicting docs (supplier vs lab) → hold at component level; most-restrictive wins until resolved.</w:t>
      </w:r>
    </w:p>
    <w:p>
      <w:r>
        <w:rPr>
          <w:sz w:val="22"/>
        </w:rPr>
        <w:t xml:space="preserve">• Exemptions claimed without evidence → mark advisory only and require explicit approver sign-off before publish.</w:t>
      </w:r>
    </w:p>
    <w:p>
      <w:r>
        <w:t xml:space="preserve"/>
      </w:r>
    </w:p>
    <w:p>
      <w:r>
        <w:rPr>
          <w:b/>
          <w:sz w:val="24"/>
        </w:rPr>
        <w:t xml:space="preserve">Done when</w:t>
      </w:r>
    </w:p>
    <w:p>
      <w:r>
        <w:rPr>
          <w:sz w:val="22"/>
        </w:rPr>
        <w:t xml:space="preserve">• Every SVHC-positive product has a signed SCIP package (or a pending update), registry status (if used), and a reproducible evidence chain (attachments/labs/supplier declarations) tied to the snapshot_id.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