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PRD-38 — Conflict Minerals (3TG) Due Diligence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Collect, validate, and roll up Conflict Minerals (3TG: tin, tantalum, tungsten, gold) due diligence using CMRT inputs; surface product risk and produce exportable evidence packs.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Supplier directory linked (Partner Store) and certificate hub (PRD-21).</w:t>
      </w:r>
    </w:p>
    <w:p>
      <w:r>
        <w:rPr>
          <w:sz w:val="22"/>
        </w:rPr>
        <w:t xml:space="preserve">• Document vault with hashing (PRD-11) and lab/QA linkage (PRD-34) for smelter/refiner verification docs.</w:t>
      </w:r>
    </w:p>
    <w:p>
      <w:r>
        <w:rPr>
          <w:sz w:val="22"/>
        </w:rPr>
        <w:t xml:space="preserve">• CMRT template mapping and smelter/refiner reference list (trusted snapshots).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Ingest CMRT: accept supplier CMRT uploads (any version); compute file hash; parse scope, smelter lists, and declarations; store as CMRT Intake Receipt.</w:t>
      </w:r>
    </w:p>
    <w:p>
      <w:r>
        <w:rPr>
          <w:sz w:val="22"/>
        </w:rPr>
        <w:t xml:space="preserve">• AI Assist (advisory): normalize smelter names/IDs; flag unknowns; suggest likely matches with confidence; reviewer approves mapping.</w:t>
      </w:r>
    </w:p>
    <w:p>
      <w:r>
        <w:rPr>
          <w:sz w:val="22"/>
        </w:rPr>
        <w:t xml:space="preserve">• Roll-up to Products: link CMRT coverage to products/components; compute per-product status (RCOI performed, DRC conflict-free, undeterminable) with WHY and coverage % (by spend/weight/count as configured).</w:t>
      </w:r>
    </w:p>
    <w:p>
      <w:r>
        <w:rPr>
          <w:sz w:val="22"/>
        </w:rPr>
        <w:t xml:space="preserve">• Evidence Binding: attach independent audit certificates or refiner validations to smelters; show pass/fail and expiry (PRD-34 hooks).</w:t>
      </w:r>
    </w:p>
    <w:p>
      <w:r>
        <w:rPr>
          <w:sz w:val="22"/>
        </w:rPr>
        <w:t xml:space="preserve">• Exceptions &amp; Remediation: open tasks for missing CMRTs, unverifiable smelters, or expired audits; track supplier responses and age.</w:t>
      </w:r>
    </w:p>
    <w:p>
      <w:r>
        <w:rPr>
          <w:sz w:val="22"/>
        </w:rPr>
        <w:t xml:space="preserve">• Reporting &amp; Packs: generate customer/authority-ready Conflict Minerals Pack (smelter list, statuses, coverage, evidence hashes, narrative) per reporting period; sign and store pack receipt.</w:t>
      </w:r>
    </w:p>
    <w:p>
      <w:r>
        <w:rPr>
          <w:sz w:val="22"/>
        </w:rPr>
        <w:t xml:space="preserve">• Change Hooks: if supplier updates CMRT or a smelter status changes, recompute roll-ups and emit ImpactDelta with a human-readable summary.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Suppliers submit outdated CMRT versions → accept with warning but request refresh; block risk-critical shipments if policy requires current version.</w:t>
      </w:r>
    </w:p>
    <w:p>
      <w:r>
        <w:rPr>
          <w:sz w:val="22"/>
        </w:rPr>
        <w:t xml:space="preserve">• Duplicate or alias smelter IDs → merge with audit trail; never silently drop entries.</w:t>
      </w:r>
    </w:p>
    <w:p>
      <w:r>
        <w:rPr>
          <w:sz w:val="22"/>
        </w:rPr>
        <w:t xml:space="preserve">• Partial BOM coverage → label remaining risk explicitly; require executive approval for shipment if below tenant threshold.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Each product’s 3TG posture is computed and explainable; per-period Conflict Minerals Pack is exportable with signed receipts; holds trigger on missing/expired evidence per tenant policy.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