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rPr>
          <w:b/>
          <w:sz w:val="28"/>
        </w:rPr>
        <w:t xml:space="preserve">PRD-39 — Battery Compliance &amp; Battery Passport Hooks</w:t>
      </w:r>
    </w:p>
    <w:p>
      <w:r>
        <w:t xml:space="preserve"/>
      </w:r>
    </w:p>
    <w:p>
      <w:r>
        <w:rPr>
          <w:b/>
          <w:sz w:val="24"/>
        </w:rPr>
        <w:t xml:space="preserve">Intent</w:t>
      </w:r>
    </w:p>
    <w:p>
      <w:r>
        <w:rPr>
          <w:sz w:val="22"/>
        </w:rPr>
        <w:t xml:space="preserve">Capture battery-specific compliance data (chemistry, capacity, classification, marking, collection) and generate an emerging “battery passport” payload for jurisdictions that adopt it.</w:t>
      </w:r>
    </w:p>
    <w:p>
      <w:r>
        <w:t xml:space="preserve"/>
      </w:r>
    </w:p>
    <w:p>
      <w:r>
        <w:rPr>
          <w:b/>
          <w:sz w:val="24"/>
        </w:rPr>
        <w:t xml:space="preserve">Preconditions</w:t>
      </w:r>
    </w:p>
    <w:p>
      <w:r>
        <w:rPr>
          <w:sz w:val="22"/>
        </w:rPr>
        <w:t xml:space="preserve">• Packaging &amp; logistics attributes available (PRD-22).</w:t>
      </w:r>
    </w:p>
    <w:p>
      <w:r>
        <w:rPr>
          <w:sz w:val="22"/>
        </w:rPr>
        <w:t xml:space="preserve">• Serial/Lot tracking enabled where required (PRD-17).</w:t>
      </w:r>
    </w:p>
    <w:p>
      <w:r>
        <w:rPr>
          <w:sz w:val="22"/>
        </w:rPr>
        <w:t xml:space="preserve">• Attachment vault and lab/QA linkage for test reports (PRD-11, PRD-34).</w:t>
      </w:r>
    </w:p>
    <w:p>
      <w:r>
        <w:rPr>
          <w:sz w:val="22"/>
        </w:rPr>
        <w:t xml:space="preserve">• Battery classification catalogs (UN numbers, packing instructions) as jurisdictional overlays.</w:t>
      </w:r>
    </w:p>
    <w:p>
      <w:r>
        <w:t xml:space="preserve"/>
      </w:r>
    </w:p>
    <w:p>
      <w:r>
        <w:rPr>
          <w:b/>
          <w:sz w:val="24"/>
        </w:rPr>
        <w:t xml:space="preserve">Steps</w:t>
      </w:r>
    </w:p>
    <w:p>
      <w:r>
        <w:rPr>
          <w:sz w:val="22"/>
        </w:rPr>
        <w:t xml:space="preserve">• Identify Scope: mark products that contain batteries or are batteries; select chemistry (Li-ion/Li-metal/lead-acid/etc), capacity (Wh), cell/pack configuration.</w:t>
      </w:r>
    </w:p>
    <w:p>
      <w:r>
        <w:rPr>
          <w:sz w:val="22"/>
        </w:rPr>
        <w:t xml:space="preserve">• Regulatory Overlay: compute DG class/UN number, packing instruction, marking/labeling requirements; show Battery Compliance Badge with WHY (rules used).</w:t>
      </w:r>
    </w:p>
    <w:p>
      <w:r>
        <w:rPr>
          <w:sz w:val="22"/>
        </w:rPr>
        <w:t xml:space="preserve">• Producer Obligations: store producer IDs/registration for battery collection schemes by jurisdiction; track validity and attach evidence letters.</w:t>
      </w:r>
    </w:p>
    <w:p>
      <w:r>
        <w:rPr>
          <w:sz w:val="22"/>
        </w:rPr>
        <w:t xml:space="preserve">• Lab/QA Binding: attach relevant test certificates (e.g., UN 38.3); show pass/fail and expiry; failed/expired blocks new use until cleared.</w:t>
      </w:r>
    </w:p>
    <w:p>
      <w:r>
        <w:rPr>
          <w:sz w:val="22"/>
        </w:rPr>
        <w:t xml:space="preserve">• Battery Passport Payload: build signed payload (model id, chemistry, capacity, lifecycle &amp; collection info, safety test refs, recycling guidance); store Battery Passport Receipt (hash + time + signer).</w:t>
      </w:r>
    </w:p>
    <w:p>
      <w:r>
        <w:rPr>
          <w:sz w:val="22"/>
        </w:rPr>
        <w:t xml:space="preserve">• Order/Shipping Hooks: ensure packing instructions and markings are present before shipment; otherwise HOLD with explicit fix steps.</w:t>
      </w:r>
    </w:p>
    <w:p>
      <w:r>
        <w:rPr>
          <w:sz w:val="22"/>
        </w:rPr>
        <w:t xml:space="preserve">• Change Hooks: chemistry/capacity change or new overlay snapshot triggers ImpactDelta and republish of battery passport payload.</w:t>
      </w:r>
    </w:p>
    <w:p>
      <w:r>
        <w:t xml:space="preserve"/>
      </w:r>
    </w:p>
    <w:p>
      <w:r>
        <w:rPr>
          <w:b/>
          <w:sz w:val="24"/>
        </w:rPr>
        <w:t xml:space="preserve">Edge cases</w:t>
      </w:r>
    </w:p>
    <w:p>
      <w:r>
        <w:rPr>
          <w:sz w:val="22"/>
        </w:rPr>
        <w:t xml:space="preserve">• Mixed chemistries in kits → compute most-restrictive and require separate marking where applicable.</w:t>
      </w:r>
    </w:p>
    <w:p>
      <w:r>
        <w:rPr>
          <w:sz w:val="22"/>
        </w:rPr>
        <w:t xml:space="preserve">• Capacity unknown → block shipment and create targeted questions for the supplier (AI-assist suggests likely range based on datasheet text).</w:t>
      </w:r>
    </w:p>
    <w:p>
      <w:r>
        <w:rPr>
          <w:sz w:val="22"/>
        </w:rPr>
        <w:t xml:space="preserve">• Jurisdiction-specific exemptions → display clearly and require reviewer confirmation before relying on exemption.</w:t>
      </w:r>
    </w:p>
    <w:p>
      <w:r>
        <w:t xml:space="preserve"/>
      </w:r>
    </w:p>
    <w:p>
      <w:r>
        <w:rPr>
          <w:b/>
          <w:sz w:val="24"/>
        </w:rPr>
        <w:t xml:space="preserve">Done when</w:t>
      </w:r>
    </w:p>
    <w:p>
      <w:r>
        <w:rPr>
          <w:sz w:val="22"/>
        </w:rPr>
        <w:t xml:space="preserve">• Every battery product has complete compliance data, current lab certifications, and an optional signed battery passport payload; shipments auto-enforce marking/packing rules with precise WHY/FIX messages.</w:t>
      </w:r>
    </w:p>
    <w:sectPr/>
  </w:body>
</w:document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</w:styles>
</file>