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PRD-40 — Medical Devices — UDI &amp; EUDAMED Record and Labelling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Capture and manage Unique Device Identification (UDI) data, EUDAMED core records, and compliant labelling for medical devices, with audit-ready proofs and advisory-only AI assists.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Product category flagged as medical device (class, intended use, sterilization).</w:t>
      </w:r>
    </w:p>
    <w:p>
      <w:r>
        <w:rPr>
          <w:sz w:val="22"/>
        </w:rPr>
        <w:t xml:space="preserve">• UDI schema registry per market (EU/US/etc) and label template library.</w:t>
      </w:r>
    </w:p>
    <w:p>
      <w:r>
        <w:rPr>
          <w:sz w:val="22"/>
        </w:rPr>
        <w:t xml:space="preserve">• Attachment vault (hashing) for certificates, clinical/biocompatibility reports (PRD-11), and Lab/QA linkage (PRD-34).</w:t>
      </w:r>
    </w:p>
    <w:p>
      <w:r>
        <w:rPr>
          <w:sz w:val="22"/>
        </w:rPr>
        <w:t xml:space="preserve">• PCV/PCT in place for jurisdictional HS/ECCN (PRD-04); serial/lot tracking (PRD-17) enabled where device tracking is required.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Scope &amp; Market Selection: choose target markets (EU/US/etc). Load applicable UDI fields (device ID, PI elements, packaging levels).</w:t>
      </w:r>
    </w:p>
    <w:p>
      <w:r>
        <w:rPr>
          <w:sz w:val="22"/>
        </w:rPr>
        <w:t xml:space="preserve">• Data Capture: record device identifier(s), packaging hierarchy, device class, sterilization status, MR conditionality, clinical/biocompatibility refs, Basic UDI-DI (EU).</w:t>
      </w:r>
    </w:p>
    <w:p>
      <w:r>
        <w:rPr>
          <w:sz w:val="22"/>
        </w:rPr>
        <w:t xml:space="preserve">• AI Assist (advisory): parse IFU/datasheets to suggest UDI attributes with page citations; reviewer accepts/edits. No auto-write.</w:t>
      </w:r>
    </w:p>
    <w:p>
      <w:r>
        <w:rPr>
          <w:sz w:val="22"/>
        </w:rPr>
        <w:t xml:space="preserve">• EUDAMED Core: create EUDAMED-ready record fields (manufacturer, authorized rep, device risk class, Basic UDI-DI, intended purpose). Link evidence attachments; store a Core Record Receipt (hash + time + signer).</w:t>
      </w:r>
    </w:p>
    <w:p>
      <w:r>
        <w:rPr>
          <w:sz w:val="22"/>
        </w:rPr>
        <w:t xml:space="preserve">• Label Build: generate market-specific labels (human-readable + AIDC/2D barcode) with LOT/EXP/UDI composition; preview per packaging level.</w:t>
      </w:r>
    </w:p>
    <w:p>
      <w:r>
        <w:rPr>
          <w:sz w:val="22"/>
        </w:rPr>
        <w:t xml:space="preserve">• Registration &amp; Export: export EUDAMED/GUDID payloads (where applicable), sign and archive submission receipts; track status and renewal dates.</w:t>
      </w:r>
    </w:p>
    <w:p>
      <w:r>
        <w:rPr>
          <w:sz w:val="22"/>
        </w:rPr>
        <w:t xml:space="preserve">• Gate Hooks: order/ship requires a valid UDI label set + registration status for target market; otherwise HOLD with precise WHY/FIX steps.</w:t>
      </w:r>
    </w:p>
    <w:p>
      <w:r>
        <w:rPr>
          <w:sz w:val="22"/>
        </w:rPr>
        <w:t xml:space="preserve">• Change Hooks: any governed attribute change (sterilization, class, IFU) triggers label rebuild and, if needed, EUDAMED update task; emit ImpactDelta.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Multi-market differences (EU Basic UDI-DI vs US DI) → maintain separate views tied to the same product version.</w:t>
      </w:r>
    </w:p>
    <w:p>
      <w:r>
        <w:rPr>
          <w:sz w:val="22"/>
        </w:rPr>
        <w:t xml:space="preserve">• Relabeling for kit bundles → compute UDI per packaging level; block shipment if parent label lacks a child reference.</w:t>
      </w:r>
    </w:p>
    <w:p>
      <w:r>
        <w:rPr>
          <w:sz w:val="22"/>
        </w:rPr>
        <w:t xml:space="preserve">• Missing clinical evidence → allow draft but block publish/registration; open targeted request with evidence checklist.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Each device has valid market UDI data, labels render correctly for all packaging levels, registration exports carry signed receipts, and shipments enforce UDI presence with clear WHY/FIX messages.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