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 xml:space="preserve">PRD-42 — Pharma — DSCSA Serialization &amp; Verification</w:t>
      </w:r>
    </w:p>
    <w:p>
      <w:r>
        <w:t xml:space="preserve"/>
      </w:r>
    </w:p>
    <w:p>
      <w:r>
        <w:rPr>
          <w:b/>
          <w:sz w:val="24"/>
        </w:rPr>
        <w:t xml:space="preserve">Intent</w:t>
      </w:r>
    </w:p>
    <w:p>
      <w:r>
        <w:rPr>
          <w:sz w:val="22"/>
        </w:rPr>
        <w:t xml:space="preserve">Achieve DSCSA compliance for prescription drug products via serialization, verification, transaction documentation, and suspect/illegitimate product handling—without storing unnecessary PHI.</w:t>
      </w:r>
    </w:p>
    <w:p>
      <w:r>
        <w:t xml:space="preserve"/>
      </w:r>
    </w:p>
    <w:p>
      <w:r>
        <w:rPr>
          <w:b/>
          <w:sz w:val="24"/>
        </w:rPr>
        <w:t xml:space="preserve">Preconditions</w:t>
      </w:r>
    </w:p>
    <w:p>
      <w:r>
        <w:rPr>
          <w:sz w:val="22"/>
        </w:rPr>
        <w:t xml:space="preserve">• Products flagged as DSCSA-scope; serial/lot tracking (PRD-17).</w:t>
      </w:r>
    </w:p>
    <w:p>
      <w:r>
        <w:rPr>
          <w:sz w:val="22"/>
        </w:rPr>
        <w:t xml:space="preserve">• Barcode/label templates (GS1 2D/linear); partner roles (manufacturer, wholesaler, dispenser).</w:t>
      </w:r>
    </w:p>
    <w:p>
      <w:r>
        <w:rPr>
          <w:sz w:val="22"/>
        </w:rPr>
        <w:t xml:space="preserve">• Document vault for T3 (TI/TH/TS) artifacts; verification routing endpoints (where applicable).</w:t>
      </w:r>
    </w:p>
    <w:p>
      <w:r>
        <w:t xml:space="preserve"/>
      </w:r>
    </w:p>
    <w:p>
      <w:r>
        <w:rPr>
          <w:b/>
          <w:sz w:val="24"/>
        </w:rPr>
        <w:t xml:space="preserve">Steps</w:t>
      </w:r>
    </w:p>
    <w:p>
      <w:r>
        <w:rPr>
          <w:sz w:val="22"/>
        </w:rPr>
        <w:t xml:space="preserve">• Serialization: generate/ingest SGTIN/SSCC per packaging level; bind serials to lots and ProductVersion; store generation receipts.</w:t>
      </w:r>
    </w:p>
    <w:p>
      <w:r>
        <w:rPr>
          <w:sz w:val="22"/>
        </w:rPr>
        <w:t xml:space="preserve">• Labeling: render GS1-compliant labels with required application identifiers; preview and lock against version drift.</w:t>
      </w:r>
    </w:p>
    <w:p>
      <w:r>
        <w:rPr>
          <w:sz w:val="22"/>
        </w:rPr>
        <w:t xml:space="preserve">• T3 Documentation: capture Transaction Information/History/Statement for each transfer; sign and store T3 Receipts with partner linkage.</w:t>
      </w:r>
    </w:p>
    <w:p>
      <w:r>
        <w:rPr>
          <w:sz w:val="22"/>
        </w:rPr>
        <w:t xml:space="preserve">• Verification Flow: on suspect/verification request, query appropriate repositories/partners; log request/response with hash receipts.</w:t>
      </w:r>
    </w:p>
    <w:p>
      <w:r>
        <w:rPr>
          <w:sz w:val="22"/>
        </w:rPr>
        <w:t xml:space="preserve">• Returns/Re-Dispense: validate returned product via verification and condition checks; accept/reject with WHY and audit trail.</w:t>
      </w:r>
    </w:p>
    <w:p>
      <w:r>
        <w:rPr>
          <w:sz w:val="22"/>
        </w:rPr>
        <w:t xml:space="preserve">• Suspect/Illegitimate Handling: create case, quarantine stock, notify partners/regulators as policy dictates; attach evidence and case outcome.</w:t>
      </w:r>
    </w:p>
    <w:p>
      <w:r>
        <w:rPr>
          <w:sz w:val="22"/>
        </w:rPr>
        <w:t xml:space="preserve">• Gate Hooks: shipments require valid serial status and T3 availability; holds when serial state is decommissioned/unknown or T3 missing.</w:t>
      </w:r>
    </w:p>
    <w:p>
      <w:r>
        <w:rPr>
          <w:sz w:val="22"/>
        </w:rPr>
        <w:t xml:space="preserve">• Reporting &amp; Reconciliation: dashboards for serial states, exceptions, verification SLAs; periodic reconciliation jobs with partners.</w:t>
      </w:r>
    </w:p>
    <w:p>
      <w:r>
        <w:t xml:space="preserve"/>
      </w:r>
    </w:p>
    <w:p>
      <w:r>
        <w:rPr>
          <w:b/>
          <w:sz w:val="24"/>
        </w:rPr>
        <w:t xml:space="preserve">Edge cases</w:t>
      </w:r>
    </w:p>
    <w:p>
      <w:r>
        <w:rPr>
          <w:sz w:val="22"/>
        </w:rPr>
        <w:t xml:space="preserve">• Mixed packs with different serial hierarchies → enforce parent-child relations before shipment.</w:t>
      </w:r>
    </w:p>
    <w:p>
      <w:r>
        <w:rPr>
          <w:sz w:val="22"/>
        </w:rPr>
        <w:t xml:space="preserve">• Repository outages → queue verifications with fallback policy; never ship without meeting minimum verification requirements.</w:t>
      </w:r>
    </w:p>
    <w:p>
      <w:r>
        <w:t xml:space="preserve"/>
      </w:r>
    </w:p>
    <w:p>
      <w:r>
        <w:rPr>
          <w:b/>
          <w:sz w:val="24"/>
        </w:rPr>
        <w:t xml:space="preserve">Done when</w:t>
      </w:r>
    </w:p>
    <w:p>
      <w:r>
        <w:rPr>
          <w:sz w:val="22"/>
        </w:rPr>
        <w:t xml:space="preserve">• Serials are trackable through packaging levels, verification requests are auditable, T3 documents are present for transfers, and holds prevent non-compliant movements.</w:t>
      </w:r>
    </w:p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