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February</w:t>
      </w:r>
      <w:r>
        <w:t xml:space="preserve"> </w:t>
      </w:r>
      <w:r>
        <w:t xml:space="preserve">20</w:t>
      </w:r>
    </w:p>
    <w:bookmarkStart w:id="20"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python scripts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0"/>
    <w:bookmarkStart w:id="21" w:name="introduction"/>
    <w:p>
      <w:pPr>
        <w:pStyle w:val="Heading2"/>
      </w:pPr>
      <w:r>
        <w:t xml:space="preserve">Introduction</w:t>
      </w:r>
    </w:p>
    <w:p>
      <w:pPr>
        <w:pStyle w:val="FirstParagraph"/>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types.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w:t>
      </w:r>
      <w:r>
        <w:t xml:space="preserve"> </w:t>
      </w:r>
      <w:r>
        <w:t xml:space="preserve">QUAST</w:t>
      </w:r>
      <w:r>
        <w:t xml:space="preserve"> </w:t>
      </w:r>
      <w:r>
        <w:t xml:space="preserve">(Gurevich</w:t>
      </w:r>
      <w:r>
        <w:t xml:space="preserve"> </w:t>
      </w:r>
      <w:r>
        <w:rPr>
          <w:iCs/>
          <w:i/>
        </w:rPr>
        <w:t xml:space="preserve">et al.</w:t>
      </w:r>
      <w:r>
        <w:t xml:space="preserve"> </w:t>
      </w:r>
      <w:r>
        <w:t xml:space="preserve">2013)</w:t>
      </w:r>
      <w:r>
        <w:t xml:space="preserve"> </w:t>
      </w:r>
      <w:r>
        <w:t xml:space="preserve">is designed to evaluate genome assemblies by summarizing it and optionally aggregating summaries from other software.</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Each of these tools does a fantastic job at what it was designed for.</w:t>
      </w:r>
      <w:r>
        <w:t xml:space="preserve"> </w:t>
      </w:r>
      <w:r>
        <w:t xml:space="preserve">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Blobtools</w:t>
            </w:r>
          </w:p>
        </w:tc>
        <w:tc>
          <w:tcPr/>
          <w:p>
            <w:pPr>
              <w:pStyle w:val="Compact"/>
              <w:jc w:val="left"/>
            </w:pPr>
            <w:r>
              <w:t xml:space="preserve">Laetsch and Blaxter 2017</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QUAST</w:t>
            </w:r>
          </w:p>
        </w:tc>
        <w:tc>
          <w:tcPr/>
          <w:p>
            <w:pPr>
              <w:pStyle w:val="Compact"/>
              <w:jc w:val="left"/>
            </w:pPr>
            <w:r>
              <w:t xml:space="preserve">Gurevich et al. 2013</w:t>
            </w:r>
          </w:p>
        </w:tc>
      </w:tr>
      <w:tr>
        <w:tc>
          <w:tcPr/>
          <w:p>
            <w:pPr>
              <w:pStyle w:val="Compact"/>
              <w:jc w:val="left"/>
            </w:pPr>
            <w:r>
              <w:t xml:space="preserve">trimmomatic</w:t>
            </w:r>
          </w:p>
        </w:tc>
        <w:tc>
          <w:tcPr/>
          <w:p>
            <w:pPr>
              <w:pStyle w:val="Compact"/>
              <w:jc w:val="left"/>
            </w:pPr>
            <w:r>
              <w:t xml:space="preserve">Bolger, Lohse and Usadel 2014</w:t>
            </w:r>
          </w:p>
        </w:tc>
      </w:tr>
    </w:tbl>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tabular format that is easy for other software to import,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1"/>
    <w:bookmarkStart w:id="23" w:name="methods"/>
    <w:p>
      <w:pPr>
        <w:pStyle w:val="Heading2"/>
      </w:pPr>
      <w:r>
        <w:t xml:space="preserve">Methods</w:t>
      </w:r>
    </w:p>
    <w:p>
      <w:pPr>
        <w:pStyle w:val="FirstParagraph"/>
      </w:pPr>
      <w:r>
        <w:t xml:space="preserve">The GitHub repository nuccomp</w:t>
      </w:r>
      <w:r>
        <w:t xml:space="preserve"> </w:t>
      </w:r>
      <w:r>
        <w:t xml:space="preserve">(Knaus 2023)</w:t>
      </w:r>
      <w:r>
        <w:t xml:space="preserve"> </w:t>
      </w:r>
      <w:r>
        <w:t xml:space="preserve">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Documents can also be compiled to html, pdf, or docx formats supported by RMarkdown</w:t>
      </w:r>
      <w:r>
        <w:t xml:space="preserve"> </w:t>
      </w:r>
      <w:r>
        <w:t xml:space="preserve">(Xie, Allaire and Grolemund 2018)</w:t>
      </w:r>
      <w:r>
        <w:t xml:space="preserve"> </w:t>
      </w:r>
      <w:r>
        <w:t xml:space="preserve">and graphics can be produced in png and tiff formats supported by R</w:t>
      </w:r>
      <w:r>
        <w:t xml:space="preserve"> </w:t>
      </w:r>
      <w:r>
        <w:t xml:space="preserve">(Wickham 2016; R Core Team 2020)</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FASTQ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The default regular expression is</w:t>
      </w:r>
      <w:r>
        <w:t xml:space="preserve"> </w:t>
      </w:r>
      <w:r>
        <w:t xml:space="preserve">‘</w:t>
      </w:r>
      <w:r>
        <w:t xml:space="preserve">CG</w:t>
      </w:r>
      <w:r>
        <w:t xml:space="preserve">’</w:t>
      </w:r>
      <w:r>
        <w:t xml:space="preserve">, as an attempt to quantify methylation potential, but can be modified by users who are familiar with regular expressions.</w:t>
      </w:r>
      <w:r>
        <w:t xml:space="preserve"> </w:t>
      </w:r>
      <w:r>
        <w:t xml:space="preserve">This count is converted to a rate by dividing each count by it’s window size.</w:t>
      </w:r>
      <w:r>
        <w:t xml:space="preserve"> </w:t>
      </w:r>
      <w:r>
        <w:t xml:space="preserve">This count is also scaled by subtracting the minimum and dividing by the maximum (after subtracting the minimum) and inverting by taking one and subtracting the scaled count (see equation).</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reported in the BED format output as column 5, the</w:t>
      </w:r>
      <w:r>
        <w:t xml:space="preserve"> </w:t>
      </w:r>
      <w:r>
        <w:t xml:space="preserve">‘</w:t>
      </w:r>
      <w:r>
        <w:t xml:space="preserve">score</w:t>
      </w:r>
      <w:r>
        <w:t xml:space="preserve">’</w:t>
      </w:r>
      <w:r>
        <w:t xml:space="preserve"> </w:t>
      </w:r>
      <w:r>
        <w:t xml:space="preserve">(SAMtools 2024)</w:t>
      </w:r>
      <w:r>
        <w:t xml:space="preserve">.</w:t>
      </w:r>
      <w:r>
        <w:t xml:space="preserve"> </w:t>
      </w:r>
      <w:r>
        <w:t xml:space="preserve">The coordinates for each window, the count, and score are reported in a BED format file.</w:t>
      </w:r>
    </w:p>
    <w:p>
      <w:pPr>
        <w:pStyle w:val="TextBody"/>
      </w:pPr>
      <m:oMathPara>
        <m:oMathParaPr>
          <m:jc m:val="center"/>
        </m:oMathParaPr>
        <m:oMath>
          <m:r>
            <m:t>s</m:t>
          </m:r>
          <m:r>
            <m:t>c</m:t>
          </m:r>
          <m:r>
            <m:t>a</m:t>
          </m:r>
          <m:r>
            <m:t>l</m:t>
          </m:r>
          <m:r>
            <m:t>e</m:t>
          </m:r>
          <m:r>
            <m:rPr>
              <m:sty m:val="p"/>
            </m:rPr>
            <m:t>=</m:t>
          </m:r>
          <m:r>
            <m:t>c</m:t>
          </m:r>
          <m:r>
            <m:t>o</m:t>
          </m:r>
          <m:r>
            <m:t>u</m:t>
          </m:r>
          <m:r>
            <m:t>n</m:t>
          </m:r>
          <m:r>
            <m:t>t</m:t>
          </m:r>
          <m:r>
            <m:rPr>
              <m:sty m:val="p"/>
            </m:rPr>
            <m:t>−</m:t>
          </m:r>
          <m:r>
            <m:t>m</m:t>
          </m:r>
          <m:r>
            <m:t>i</m:t>
          </m:r>
          <m:r>
            <m:t>n</m:t>
          </m:r>
          <m:d>
            <m:dPr>
              <m:begChr m:val="("/>
              <m:endChr m:val=")"/>
              <m:sepChr m:val=""/>
              <m:grow/>
            </m:dPr>
            <m:e>
              <m:r>
                <m:t>c</m:t>
              </m:r>
              <m:r>
                <m:t>o</m:t>
              </m:r>
              <m:r>
                <m:t>u</m:t>
              </m:r>
              <m:r>
                <m:t>n</m:t>
              </m:r>
              <m:r>
                <m:t>t</m:t>
              </m:r>
            </m:e>
          </m:d>
        </m:oMath>
      </m:oMathPara>
    </w:p>
    <w:p>
      <w:pPr>
        <w:pStyle w:val="FirstParagraph"/>
      </w:pPr>
      <m:oMathPara>
        <m:oMathParaPr>
          <m:jc m:val="center"/>
        </m:oMathParaPr>
        <m:oMath>
          <m:r>
            <m:t>s</m:t>
          </m:r>
          <m:r>
            <m:t>c</m:t>
          </m:r>
          <m:r>
            <m:t>a</m:t>
          </m:r>
          <m:r>
            <m:t>l</m:t>
          </m:r>
          <m:r>
            <m:t>e</m:t>
          </m:r>
          <m:r>
            <m:rPr>
              <m:sty m:val="p"/>
            </m:rPr>
            <m:t>=</m:t>
          </m:r>
          <m:r>
            <m:t>s</m:t>
          </m:r>
          <m:r>
            <m:t>c</m:t>
          </m:r>
          <m:r>
            <m:t>a</m:t>
          </m:r>
          <m:r>
            <m:t>l</m:t>
          </m:r>
          <m:r>
            <m:t>e</m:t>
          </m:r>
          <m:r>
            <m:rPr>
              <m:sty m:val="p"/>
            </m:rPr>
            <m:t>/</m:t>
          </m:r>
          <m:r>
            <m:t>m</m:t>
          </m:r>
          <m:r>
            <m:t>a</m:t>
          </m:r>
          <m:r>
            <m:t>x</m:t>
          </m:r>
          <m:d>
            <m:dPr>
              <m:begChr m:val="("/>
              <m:endChr m:val=")"/>
              <m:sepChr m:val=""/>
              <m:grow/>
            </m:dPr>
            <m:e>
              <m:r>
                <m:t>s</m:t>
              </m:r>
              <m:r>
                <m:t>c</m:t>
              </m:r>
              <m:r>
                <m:t>a</m:t>
              </m:r>
              <m:r>
                <m:t>l</m:t>
              </m:r>
              <m:r>
                <m:t>e</m:t>
              </m:r>
            </m:e>
          </m:d>
        </m:oMath>
      </m:oMathPara>
    </w:p>
    <w:p>
      <w:pPr>
        <w:pStyle w:val="FirstParagraph"/>
      </w:pPr>
      <m:oMathPara>
        <m:oMathParaPr>
          <m:jc m:val="center"/>
        </m:oMathParaPr>
        <m:oMath>
          <m:r>
            <m:t>s</m:t>
          </m:r>
          <m:r>
            <m:t>c</m:t>
          </m:r>
          <m:r>
            <m:t>a</m:t>
          </m:r>
          <m:r>
            <m:t>l</m:t>
          </m:r>
          <m:r>
            <m:t>e</m:t>
          </m:r>
          <m:r>
            <m:rPr>
              <m:sty m:val="p"/>
            </m:rPr>
            <m:t>=</m:t>
          </m:r>
          <m:r>
            <m:t>1</m:t>
          </m:r>
          <m:r>
            <m:rPr>
              <m:sty m:val="p"/>
            </m:rPr>
            <m:t>−</m:t>
          </m:r>
          <m:r>
            <m:t>s</m:t>
          </m:r>
          <m:r>
            <m:t>c</m:t>
          </m:r>
          <m:r>
            <m:t>a</m:t>
          </m:r>
          <m:r>
            <m:t>l</m:t>
          </m:r>
          <m:r>
            <m:t>e</m:t>
          </m:r>
        </m:oMath>
      </m:oMathPara>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to summarize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2">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3"/>
    <w:bookmarkStart w:id="27" w:name="results"/>
    <w:p>
      <w:pPr>
        <w:pStyle w:val="Heading2"/>
      </w:pPr>
      <w:r>
        <w:t xml:space="preserve">Results</w:t>
      </w:r>
    </w:p>
    <w:p>
      <w:pPr>
        <w:pStyle w:val="FirstParagraph"/>
      </w:pPr>
      <w:r>
        <w:t xml:space="preserve">The python script nuccomp.py 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t xml:space="preserve">“</w:t>
      </w:r>
      <w:r>
        <w:t xml:space="preserve">nuccomp.Rmd</w:t>
      </w:r>
      <w:r>
        <w:t xml:space="preserve">”</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5" name="Picture"/>
            <a:graphic>
              <a:graphicData uri="http://schemas.openxmlformats.org/drawingml/2006/picture">
                <pic:pic>
                  <pic:nvPicPr>
                    <pic:cNvPr descr="../S288C_reference_sequence_R64-2-1_20150113.png" id="26" name="Picture"/>
                    <pic:cNvPicPr>
                      <a:picLocks noChangeArrowheads="1" noChangeAspect="1"/>
                    </pic:cNvPicPr>
                  </pic:nvPicPr>
                  <pic:blipFill>
                    <a:blip r:embed="rId24"/>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7"/>
    <w:bookmarkStart w:id="28" w:name="discussion"/>
    <w:p>
      <w:pPr>
        <w:pStyle w:val="Heading2"/>
      </w:pPr>
      <w:r>
        <w:t xml:space="preserve">Discussion</w:t>
      </w:r>
    </w:p>
    <w:p>
      <w:pPr>
        <w:pStyle w:val="FirstParagraph"/>
      </w:pPr>
      <w:r>
        <w:t xml:space="preserve">Current genome sequencing technology outputs DNA in a text-based FASTA or FASTQ file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various bioinformatic tools.</w:t>
      </w:r>
      <w:r>
        <w:t xml:space="preserve"> </w:t>
      </w:r>
      <w:r>
        <w:t xml:space="preserve">A significant amount of project time may be invested in determining which summaries are available from different tools and how to present this information.</w:t>
      </w:r>
    </w:p>
    <w:p>
      <w:pPr>
        <w:pStyle w:val="TextBody"/>
      </w:pPr>
      <w:r>
        <w:t xml:space="preserve">The use of nuccomp facilitates the summary of DNA data and also provides a high level code example for the summaries.</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makes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r>
        <w:t xml:space="preserve"> </w:t>
      </w:r>
      <w:r>
        <w:t xml:space="preserve">And we hope that users searching for a simple and customizable way of summarizing FASTA and FASTQ data will consider nuccomp.</w:t>
      </w:r>
    </w:p>
    <w:bookmarkEnd w:id="28"/>
    <w:bookmarkStart w:id="29"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29"/>
    <w:bookmarkStart w:id="60" w:name="references"/>
    <w:p>
      <w:pPr>
        <w:pStyle w:val="Heading2"/>
      </w:pPr>
      <w:r>
        <w:t xml:space="preserve">References</w:t>
      </w:r>
    </w:p>
    <w:bookmarkStart w:id="59" w:name="refs"/>
    <w:bookmarkStart w:id="31" w:name="ref-allaire_etal2021"/>
    <w:p>
      <w:pPr>
        <w:pStyle w:val="Bibliography"/>
      </w:pPr>
      <w:r>
        <w:t xml:space="preserve">Allaire J, Xie Y, McPherson J</w:t>
      </w:r>
      <w:r>
        <w:t xml:space="preserve"> </w:t>
      </w:r>
      <w:r>
        <w:rPr>
          <w:iCs/>
          <w:i/>
        </w:rPr>
        <w:t xml:space="preserve">et al.</w:t>
      </w:r>
      <w:r>
        <w:t xml:space="preserve"> </w:t>
      </w:r>
      <w:hyperlink r:id="rId30">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0">
        <w:r>
          <w:rPr>
            <w:rStyle w:val="InternetLink"/>
          </w:rPr>
          <w:t xml:space="preserve">https://github.com/rstudio/rmarkdown</w:t>
        </w:r>
      </w:hyperlink>
      <w:r>
        <w:t xml:space="preserve">, 2021.</w:t>
      </w:r>
    </w:p>
    <w:bookmarkEnd w:id="31"/>
    <w:bookmarkStart w:id="33" w:name="ref-andrews2010fastqc"/>
    <w:p>
      <w:pPr>
        <w:pStyle w:val="Bibliography"/>
      </w:pPr>
      <w:r>
        <w:t xml:space="preserve">Andrews S</w:t>
      </w:r>
      <w:r>
        <w:t xml:space="preserve"> </w:t>
      </w:r>
      <w:r>
        <w:rPr>
          <w:iCs/>
          <w:i/>
        </w:rPr>
        <w:t xml:space="preserve">et al.</w:t>
      </w:r>
      <w:r>
        <w:t xml:space="preserve"> </w:t>
      </w:r>
      <w:hyperlink r:id="rId32">
        <w:r>
          <w:rPr>
            <w:rStyle w:val="InternetLink"/>
            <w:iCs/>
            <w:i/>
          </w:rPr>
          <w:t xml:space="preserve">FastQC: A Quality Control Tool for High Throughput Sequence Data</w:t>
        </w:r>
      </w:hyperlink>
      <w:r>
        <w:t xml:space="preserve">.</w:t>
      </w:r>
      <w:r>
        <w:t xml:space="preserve"> </w:t>
      </w:r>
      <w:hyperlink r:id="rId32">
        <w:r>
          <w:rPr>
            <w:rStyle w:val="InternetLink"/>
          </w:rPr>
          <w:t xml:space="preserve">https://www.bioinformatics.babraham.ac.uk/projects/fastqc/</w:t>
        </w:r>
      </w:hyperlink>
      <w:r>
        <w:t xml:space="preserve">; Babraham Bioinformatics, Babraham Institute, Cambridge, United Kingdom, 2010.</w:t>
      </w:r>
    </w:p>
    <w:bookmarkEnd w:id="33"/>
    <w:bookmarkStart w:id="35" w:name="ref-bolger2014trimmomatic"/>
    <w:p>
      <w:pPr>
        <w:pStyle w:val="Bibliography"/>
      </w:pPr>
      <w:r>
        <w:t xml:space="preserve">Bolger AM, Lohse M, Usadel B.</w:t>
      </w:r>
      <w:r>
        <w:t xml:space="preserve"> </w:t>
      </w:r>
      <w:hyperlink r:id="rId34">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5"/>
    <w:bookmarkStart w:id="37" w:name="ref-cock2009biopython"/>
    <w:p>
      <w:pPr>
        <w:pStyle w:val="Bibliography"/>
      </w:pPr>
      <w:r>
        <w:t xml:space="preserve">Cock PJ, Antao T, Chang JT</w:t>
      </w:r>
      <w:r>
        <w:t xml:space="preserve"> </w:t>
      </w:r>
      <w:r>
        <w:rPr>
          <w:iCs/>
          <w:i/>
        </w:rPr>
        <w:t xml:space="preserve">et al.</w:t>
      </w:r>
      <w:r>
        <w:t xml:space="preserve"> </w:t>
      </w:r>
      <w:hyperlink r:id="rId36">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7"/>
    <w:bookmarkStart w:id="39" w:name="ref-cock2010sanger"/>
    <w:p>
      <w:pPr>
        <w:pStyle w:val="Bibliography"/>
      </w:pPr>
      <w:r>
        <w:t xml:space="preserve">Cock PJ, Fields CJ, Goto N</w:t>
      </w:r>
      <w:r>
        <w:t xml:space="preserve"> </w:t>
      </w:r>
      <w:r>
        <w:rPr>
          <w:iCs/>
          <w:i/>
        </w:rPr>
        <w:t xml:space="preserve">et al.</w:t>
      </w:r>
      <w:r>
        <w:t xml:space="preserve"> </w:t>
      </w:r>
      <w:hyperlink r:id="rId38">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39"/>
    <w:bookmarkStart w:id="40"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0"/>
    <w:bookmarkStart w:id="42" w:name="ref-gurevich2013quast"/>
    <w:p>
      <w:pPr>
        <w:pStyle w:val="Bibliography"/>
      </w:pPr>
      <w:r>
        <w:t xml:space="preserve">Gurevich A, Saveliev V, Vyahhi N</w:t>
      </w:r>
      <w:r>
        <w:t xml:space="preserve"> </w:t>
      </w:r>
      <w:r>
        <w:rPr>
          <w:iCs/>
          <w:i/>
        </w:rPr>
        <w:t xml:space="preserve">et al.</w:t>
      </w:r>
      <w:r>
        <w:t xml:space="preserve"> </w:t>
      </w:r>
      <w:hyperlink r:id="rId41">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2"/>
    <w:bookmarkStart w:id="44" w:name="ref-ggpubr"/>
    <w:p>
      <w:pPr>
        <w:pStyle w:val="Bibliography"/>
      </w:pPr>
      <w:r>
        <w:t xml:space="preserve">Kassambara A.</w:t>
      </w:r>
      <w:r>
        <w:t xml:space="preserve"> </w:t>
      </w:r>
      <w:hyperlink r:id="rId43">
        <w:r>
          <w:rPr>
            <w:rStyle w:val="InternetLink"/>
            <w:iCs/>
            <w:i/>
          </w:rPr>
          <w:t xml:space="preserve">Ggpubr: ’Ggplot2’ Based Publication Ready Plots</w:t>
        </w:r>
      </w:hyperlink>
      <w:r>
        <w:t xml:space="preserve">., 2020.</w:t>
      </w:r>
    </w:p>
    <w:bookmarkEnd w:id="44"/>
    <w:bookmarkStart w:id="46" w:name="ref-knausb2023"/>
    <w:p>
      <w:pPr>
        <w:pStyle w:val="Bibliography"/>
      </w:pPr>
      <w:r>
        <w:t xml:space="preserve">Knaus BJ.</w:t>
      </w:r>
      <w:r>
        <w:t xml:space="preserve"> </w:t>
      </w:r>
      <w:r>
        <w:rPr>
          <w:iCs/>
          <w:i/>
        </w:rPr>
        <w:t xml:space="preserve">Nuccomp</w:t>
      </w:r>
      <w:r>
        <w:t xml:space="preserve">.</w:t>
      </w:r>
      <w:r>
        <w:t xml:space="preserve"> </w:t>
      </w:r>
      <w:hyperlink r:id="rId45">
        <w:r>
          <w:rPr>
            <w:rStyle w:val="InternetLink"/>
          </w:rPr>
          <w:t xml:space="preserve">https://github.com/knausb/nuccomp</w:t>
        </w:r>
      </w:hyperlink>
      <w:r>
        <w:t xml:space="preserve">; GitHub, 2023.</w:t>
      </w:r>
    </w:p>
    <w:bookmarkEnd w:id="46"/>
    <w:bookmarkStart w:id="48" w:name="ref-laetsch2017blobtools"/>
    <w:p>
      <w:pPr>
        <w:pStyle w:val="Bibliography"/>
      </w:pPr>
      <w:r>
        <w:t xml:space="preserve">Laetsch DR, Blaxter ML.</w:t>
      </w:r>
      <w:r>
        <w:t xml:space="preserve"> </w:t>
      </w:r>
      <w:hyperlink r:id="rId47">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8"/>
    <w:bookmarkStart w:id="50" w:name="ref-R"/>
    <w:p>
      <w:pPr>
        <w:pStyle w:val="Bibliography"/>
      </w:pPr>
      <w:r>
        <w:t xml:space="preserve">R Core Team.</w:t>
      </w:r>
      <w:r>
        <w:t xml:space="preserve"> </w:t>
      </w:r>
      <w:hyperlink r:id="rId49">
        <w:r>
          <w:rPr>
            <w:rStyle w:val="InternetLink"/>
            <w:iCs/>
            <w:i/>
          </w:rPr>
          <w:t xml:space="preserve">R: A Language and Environment for Statistical Computing</w:t>
        </w:r>
      </w:hyperlink>
      <w:r>
        <w:t xml:space="preserve">. Vienna, Austria: R Foundation for Statistical Computing, 2020.</w:t>
      </w:r>
    </w:p>
    <w:bookmarkEnd w:id="50"/>
    <w:bookmarkStart w:id="52" w:name="ref-hts-specs"/>
    <w:p>
      <w:pPr>
        <w:pStyle w:val="Bibliography"/>
      </w:pPr>
      <w:r>
        <w:t xml:space="preserve">SAMtools.</w:t>
      </w:r>
      <w:r>
        <w:t xml:space="preserve"> </w:t>
      </w:r>
      <w:r>
        <w:rPr>
          <w:iCs/>
          <w:i/>
        </w:rPr>
        <w:t xml:space="preserve">BED V1</w:t>
      </w:r>
      <w:r>
        <w:t xml:space="preserve">.</w:t>
      </w:r>
      <w:r>
        <w:t xml:space="preserve"> </w:t>
      </w:r>
      <w:hyperlink r:id="rId51">
        <w:r>
          <w:rPr>
            <w:rStyle w:val="InternetLink"/>
          </w:rPr>
          <w:t xml:space="preserve">https://samtools.github.io/hts-specs/</w:t>
        </w:r>
      </w:hyperlink>
      <w:r>
        <w:t xml:space="preserve">; GitHub, 2024.</w:t>
      </w:r>
    </w:p>
    <w:bookmarkEnd w:id="52"/>
    <w:bookmarkStart w:id="54" w:name="ref-simao2015busco"/>
    <w:p>
      <w:pPr>
        <w:pStyle w:val="Bibliography"/>
      </w:pPr>
      <w:r>
        <w:t xml:space="preserve">Simão FA, Waterhouse RM, Ioannidis P</w:t>
      </w:r>
      <w:r>
        <w:t xml:space="preserve"> </w:t>
      </w:r>
      <w:r>
        <w:rPr>
          <w:iCs/>
          <w:i/>
        </w:rPr>
        <w:t xml:space="preserve">et al.</w:t>
      </w:r>
      <w:r>
        <w:t xml:space="preserve"> </w:t>
      </w:r>
      <w:hyperlink r:id="rId53">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4"/>
    <w:bookmarkStart w:id="56" w:name="ref-ggplot2"/>
    <w:p>
      <w:pPr>
        <w:pStyle w:val="Bibliography"/>
      </w:pPr>
      <w:r>
        <w:t xml:space="preserve">Wickham H.</w:t>
      </w:r>
      <w:r>
        <w:t xml:space="preserve"> </w:t>
      </w:r>
      <w:hyperlink r:id="rId55">
        <w:r>
          <w:rPr>
            <w:rStyle w:val="InternetLink"/>
            <w:iCs/>
            <w:i/>
          </w:rPr>
          <w:t xml:space="preserve">Ggplot2: Elegant Graphics for Data Analysis</w:t>
        </w:r>
      </w:hyperlink>
      <w:r>
        <w:t xml:space="preserve">. Springer-Verlag New York, 2016.</w:t>
      </w:r>
    </w:p>
    <w:bookmarkEnd w:id="56"/>
    <w:bookmarkStart w:id="58" w:name="ref-rmarkdown"/>
    <w:p>
      <w:pPr>
        <w:pStyle w:val="Bibliography"/>
      </w:pPr>
      <w:r>
        <w:t xml:space="preserve">Xie Y, Allaire JJ, Grolemund G.</w:t>
      </w:r>
      <w:r>
        <w:t xml:space="preserve"> </w:t>
      </w:r>
      <w:hyperlink r:id="rId57">
        <w:r>
          <w:rPr>
            <w:rStyle w:val="InternetLink"/>
            <w:iCs/>
            <w:i/>
          </w:rPr>
          <w:t xml:space="preserve">R Markdown: The Definitive Guide</w:t>
        </w:r>
      </w:hyperlink>
      <w:r>
        <w:t xml:space="preserve">. Boca Raton, Florida: Chapman; Hall/CRC, 2018.</w:t>
      </w:r>
    </w:p>
    <w:bookmarkEnd w:id="58"/>
    <w:bookmarkEnd w:id="59"/>
    <w:bookmarkEnd w:id="60"/>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2024-02-20T23:20:23Z</dcterms:created>
  <dcterms:modified xsi:type="dcterms:W3CDTF">2024-02-20T23:20:23Z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February 20</vt:lpwstr>
  </property>
  <property fmtid="{D5CDD505-2E9C-101B-9397-08002B2CF9AE}" pid="5" name="editor_options">
    <vt:lpwstr/>
  </property>
  <property fmtid="{D5CDD505-2E9C-101B-9397-08002B2CF9AE}" pid="6" name="output">
    <vt:lpwstr/>
  </property>
</Properties>
</file>