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January</w:t>
      </w:r>
      <w:r>
        <w:t xml:space="preserve"> </w:t>
      </w:r>
      <w:r>
        <w:t xml:space="preserve">25</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a python script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Overly wordy intro.</w:t>
      </w:r>
    </w:p>
    <w:p>
      <w:pPr>
        <w:pStyle w:val="TextBody"/>
      </w:pPr>
      <w:r>
        <w:t xml:space="preserve">A genome consists of double stranded DNA packaged into chromosomes.</w:t>
      </w:r>
      <w:r>
        <w:t xml:space="preserve"> </w:t>
      </w:r>
      <w:r>
        <w:t xml:space="preserve">The DNA contains features such as protein-coding genes, transposable elements, and various types of simple sequence repeats.</w:t>
      </w:r>
      <w:r>
        <w:t xml:space="preserve"> </w:t>
      </w:r>
      <w:r>
        <w:t xml:space="preserve">Current genome sequencing technology reports this DNA in a text file organized in the FASTA or FASTQ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the various workflow outputs.</w:t>
      </w:r>
      <w:r>
        <w:t xml:space="preserve"> </w:t>
      </w:r>
      <w:r>
        <w:t xml:space="preserve">A significant amount of project time is invested in determining which summaries are available from which output and how to present this information.</w:t>
      </w:r>
    </w:p>
    <w:p>
      <w:pPr>
        <w:pStyle w:val="DivCol"/>
      </w:pPr>
      <w:r>
        <w:t xml:space="preserve">Do we need a table of tools?</w:t>
      </w:r>
      <w:r>
        <w:t xml:space="preserve"> </w:t>
      </w:r>
      <w:r>
        <w:t xml:space="preserve">Column 1: Software name. Column 2: Author.</w:t>
      </w:r>
    </w:p>
    <w:p>
      <w:pPr>
        <w:pStyle w:val="TableCaption"/>
      </w:pPr>
      <w:r>
        <w:rPr>
          <w:bCs/>
          <w:b/>
        </w:rPr>
        <w:t xml:space="preserve">Table 1.</w:t>
      </w:r>
      <w:r>
        <w:t xml:space="preserve"> </w:t>
      </w:r>
      <w:r>
        <w:t xml:space="preserve">Existing software that describes FASTA/Q files.</w:t>
      </w:r>
    </w:p>
    <w:tbl>
      <w:tblPr>
        <w:tblStyle w:val="Table"/>
        <w:tblW w:type="auto" w:w="0"/>
        <w:tblLook w:firstRow="1" w:lastRow="0" w:firstColumn="0" w:lastColumn="0" w:noHBand="0" w:noVBand="0" w:val="0020"/>
        <w:jc w:val="start"/>
        <w:tblCaption w:val="Table 1. Existing software that describes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trimmomatic</w:t>
            </w:r>
          </w:p>
        </w:tc>
        <w:tc>
          <w:tcPr/>
          <w:p>
            <w:pPr>
              <w:pStyle w:val="Compact"/>
              <w:jc w:val="left"/>
            </w:pPr>
            <w:r>
              <w:t xml:space="preserve">Bolger, Lohse and Usadel 2014</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Blobtools</w:t>
            </w:r>
          </w:p>
        </w:tc>
        <w:tc>
          <w:tcPr/>
          <w:p>
            <w:pPr>
              <w:pStyle w:val="Compact"/>
              <w:jc w:val="left"/>
            </w:pPr>
            <w:r>
              <w:t xml:space="preserve">Laetsch and Blaxter 2017</w:t>
            </w:r>
          </w:p>
        </w:tc>
      </w:tr>
    </w:tbl>
    <w:p>
      <w:pPr>
        <w:pStyle w:val="TextBody"/>
      </w:pPr>
      <w:r>
        <w:t xml:space="preserve">Tools for summarizing bioinformatic files exist, but they are currently distributed among many software packages designed to work on various file formats.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 that are a typical result from Illumina sequencing.</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A solution specific to data in the FASTA and FASTQ format that provides several summaries of the data, examples of the presentation of these summaries, as well as the flexibility to allow the end user to customize these summaries would aid the management of genomics projects as well as the presentation of this information in genome announcements and pangenomic investigations.</w:t>
      </w:r>
    </w:p>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w:t>
      </w:r>
      <w:r>
        <w:t xml:space="preserve"> </w:t>
      </w:r>
      <w:r>
        <w:t xml:space="preserve">These tools consist of python scripts that summarize FASTA and FASTQ files in a tabular format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5"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 (</w:t>
      </w:r>
      <w:hyperlink r:id="rId23">
        <w:r>
          <w:rPr>
            <w:rStyle w:val="InternetLink"/>
          </w:rPr>
          <w:t xml:space="preserve">https://github.com/knausb/nuccomp</w:t>
        </w:r>
      </w:hyperlink>
      <w:r>
        <w:t xml:space="preserve">) contains two python scripts, an RMarkdown document,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Output can also be compiled to other formats supported by RMarkdown (html, pdf, docx;</w:t>
      </w:r>
      <w:r>
        <w:t xml:space="preserve"> </w:t>
      </w:r>
      <w:r>
        <w:t xml:space="preserve">Xie, Allaire and Grolemund (2018)</w:t>
      </w:r>
      <w:r>
        <w:t xml:space="preserve">) and ggplot (*.png, *.tiff, and other formats;</w:t>
      </w:r>
      <w:r>
        <w:t xml:space="preserve"> </w:t>
      </w:r>
      <w:r>
        <w:t xml:space="preserve">Wickham (2016)</w:t>
      </w:r>
      <w:r>
        <w:t xml:space="preserve">).</w:t>
      </w:r>
    </w:p>
    <w:p>
      <w:pPr>
        <w:pStyle w:val="TableCaption"/>
      </w:pPr>
      <w:r>
        <w:rPr>
          <w:bCs/>
          <w:b/>
        </w:rPr>
        <w:t xml:space="preserve">Table 1.</w:t>
      </w:r>
      <w:r>
        <w:t xml:space="preserve"> </w:t>
      </w:r>
      <w:r>
        <w:t xml:space="preserve">Scripts included in nuccomp and their functionality.</w:t>
      </w:r>
    </w:p>
    <w:tbl>
      <w:tblPr>
        <w:tblStyle w:val="Table"/>
        <w:tblW w:type="auto" w:w="0"/>
        <w:tblLook w:firstRow="1" w:lastRow="0" w:firstColumn="0" w:lastColumn="0" w:noHBand="0" w:noVBand="0" w:val="0020"/>
        <w:jc w:val="start"/>
        <w:tblCaption w:val="Table 1. Scripts included in nuccomp and their functionality."/>
      </w:tblPr>
      <w:tblGrid>
        <w:gridCol w:w="2640"/>
        <w:gridCol w:w="2640"/>
        <w:gridCol w:w="2640"/>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This count is converted to a rate by dividing each count by it’s window size, scaled by subtracting the minimum and dividing by the maximum (after subtracting the minimum).</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then inverted by subtracting it from one and is reported in the BED format output as column 5, the</w:t>
      </w:r>
      <w:r>
        <w:t xml:space="preserve"> </w:t>
      </w:r>
      <w:r>
        <w:t xml:space="preserve">‘</w:t>
      </w:r>
      <w:r>
        <w:t xml:space="preserve">score</w:t>
      </w:r>
      <w:r>
        <w:t xml:space="preserve">’</w:t>
      </w:r>
      <w:r>
        <w:t xml:space="preserve">.</w:t>
      </w:r>
      <w:r>
        <w:t xml:space="preserve"> </w:t>
      </w:r>
      <w:r>
        <w:t xml:space="preserve">The coordinates for each window, the count, and score are reported in a BED format file.</w:t>
      </w:r>
    </w:p>
    <w:p>
      <w:pPr>
        <w:pStyle w:val="TextBody"/>
      </w:pPr>
      <w:r>
        <w:t xml:space="preserve">$$
scale = x-min(x)  \\
scale = scale / max(scale) \\
scale = 1 - scale
$$</w:t>
      </w:r>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and summarizes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4">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5"/>
    <w:bookmarkStart w:id="29" w:name="results"/>
    <w:p>
      <w:pPr>
        <w:pStyle w:val="Heading2"/>
      </w:pPr>
      <w:r>
        <w:t xml:space="preserve">Results</w:t>
      </w:r>
    </w:p>
    <w:p>
      <w:pPr>
        <w:pStyle w:val="FirstParagraph"/>
      </w:pPr>
      <w:r>
        <w:t xml:space="preserve">The python script</w:t>
      </w:r>
      <w:r>
        <w:t xml:space="preserve"> </w:t>
      </w:r>
      <w:r>
        <w:t xml:space="preserve">“</w:t>
      </w:r>
      <w:r>
        <w:t xml:space="preserve">nuccomp.py</w:t>
      </w:r>
      <w:r>
        <w:t xml:space="preserve">”</w:t>
      </w:r>
      <w:r>
        <w:t xml:space="preserve"> </w:t>
      </w:r>
      <w:r>
        <w:t xml:space="preserve">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rPr>
          <w:rStyle w:val="VerbatimChar"/>
        </w:rPr>
        <w:t xml:space="preserve">nuccomp.Rmd</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7" name="Picture"/>
            <a:graphic>
              <a:graphicData uri="http://schemas.openxmlformats.org/drawingml/2006/picture">
                <pic:pic>
                  <pic:nvPicPr>
                    <pic:cNvPr descr="../S288C_reference_sequence_R64-2-1_20150113.png" id="28" name="Picture"/>
                    <pic:cNvPicPr>
                      <a:picLocks noChangeArrowheads="1" noChangeAspect="1"/>
                    </pic:cNvPicPr>
                  </pic:nvPicPr>
                  <pic:blipFill>
                    <a:blip r:embed="rId26"/>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DivCol"/>
      </w:pPr>
      <w:r>
        <w:t xml:space="preserve">Methods should be past tense???</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9"/>
    <w:bookmarkStart w:id="30" w:name="discussion"/>
    <w:p>
      <w:pPr>
        <w:pStyle w:val="Heading2"/>
      </w:pPr>
      <w:r>
        <w:t xml:space="preserve">Discussion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The use of an RMarkdown document facilitates the summary of the data and also provides a high level code example for the summaries made.</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p>
    <w:p>
      <w:pPr>
        <w:pStyle w:val="DivCol"/>
      </w:pPr>
      <w:r>
        <w:t xml:space="preserve">KV: Not sure what the intended message is here. There appear to be several ideas mixed together. Raw data fastq files from sequencing aren’t by themselves</w:t>
      </w:r>
      <w:r>
        <w:t xml:space="preserve"> </w:t>
      </w:r>
      <w:r>
        <w:t xml:space="preserve">“</w:t>
      </w:r>
      <w:r>
        <w:t xml:space="preserve">benchmarks of quality.</w:t>
      </w:r>
      <w:r>
        <w:t xml:space="preserve">”</w:t>
      </w:r>
      <w:r>
        <w:t xml:space="preserve"> </w:t>
      </w:r>
      <w:r>
        <w:t xml:space="preserve">Raw data downloaded from a data repository like the NCBI SRA can be vetted with nuccomp.</w:t>
      </w:r>
    </w:p>
    <w:p>
      <w:pPr>
        <w:pStyle w:val="DivCol"/>
      </w:pPr>
      <w:r>
        <w:t xml:space="preserve">BK: Trying too hard to finish strong?</w:t>
      </w:r>
    </w:p>
    <w:p>
      <w:pPr>
        <w:pStyle w:val="TextBody"/>
      </w:pPr>
      <w:r>
        <w:t xml:space="preserve">The study of genomics could currently be described as the study of biological sequence files in the FASTA and FASTQ formats.</w:t>
      </w:r>
      <w:r>
        <w:t xml:space="preserve"> </w:t>
      </w:r>
      <w:r>
        <w:t xml:space="preserve">These files are acquired through data centers and sequencing consortia as benchmarks of quality and to build upon our existing knowledge base.</w:t>
      </w:r>
      <w:r>
        <w:t xml:space="preserve"> </w:t>
      </w:r>
      <w:r>
        <w:t xml:space="preserve">These files are also generated at multiple steps during research projects, such as receiving sequence libraries from a sequencing center, the result of assembling these sequences, as well as any results from attempts at scaffolding these assemblies into more contiguous representations of chromosomes and genomes.</w:t>
      </w:r>
      <w:r>
        <w:t xml:space="preserve"> </w:t>
      </w:r>
      <w:r>
        <w:t xml:space="preserve">Through providing nuccomp as a high level solution, using RMarkdown, it is hoped that this will empower investigators to not only prepare reports and summaries as demonstrated here, but will also provide a foundation that inspires users to innovate their own representations of genomic information.</w:t>
      </w:r>
    </w:p>
    <w:bookmarkEnd w:id="30"/>
    <w:bookmarkStart w:id="31"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1"/>
    <w:bookmarkStart w:id="59" w:name="references"/>
    <w:p>
      <w:pPr>
        <w:pStyle w:val="Heading2"/>
      </w:pPr>
      <w:r>
        <w:t xml:space="preserve">References</w:t>
      </w:r>
    </w:p>
    <w:bookmarkStart w:id="58" w:name="refs"/>
    <w:bookmarkStart w:id="33" w:name="ref-allaire_etal2021"/>
    <w:p>
      <w:pPr>
        <w:pStyle w:val="Bibliography"/>
      </w:pPr>
      <w:r>
        <w:t xml:space="preserve">Allaire J, Xie Y, McPherson J</w:t>
      </w:r>
      <w:r>
        <w:t xml:space="preserve"> </w:t>
      </w:r>
      <w:r>
        <w:rPr>
          <w:iCs/>
          <w:i/>
        </w:rPr>
        <w:t xml:space="preserve">et al.</w:t>
      </w:r>
      <w:r>
        <w:t xml:space="preserve"> </w:t>
      </w:r>
      <w:hyperlink r:id="rId32">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2">
        <w:r>
          <w:rPr>
            <w:rStyle w:val="InternetLink"/>
          </w:rPr>
          <w:t xml:space="preserve">https://github.com/rstudio/rmarkdown</w:t>
        </w:r>
      </w:hyperlink>
      <w:r>
        <w:t xml:space="preserve">, 2021.</w:t>
      </w:r>
    </w:p>
    <w:bookmarkEnd w:id="33"/>
    <w:bookmarkStart w:id="35" w:name="ref-andrews2010fastqc"/>
    <w:p>
      <w:pPr>
        <w:pStyle w:val="Bibliography"/>
      </w:pPr>
      <w:r>
        <w:t xml:space="preserve">Andrews S</w:t>
      </w:r>
      <w:r>
        <w:t xml:space="preserve"> </w:t>
      </w:r>
      <w:r>
        <w:rPr>
          <w:iCs/>
          <w:i/>
        </w:rPr>
        <w:t xml:space="preserve">et al.</w:t>
      </w:r>
      <w:r>
        <w:t xml:space="preserve"> </w:t>
      </w:r>
      <w:hyperlink r:id="rId34">
        <w:r>
          <w:rPr>
            <w:rStyle w:val="InternetLink"/>
            <w:iCs/>
            <w:i/>
          </w:rPr>
          <w:t xml:space="preserve">FastQC: A Quality Control Tool for High Throughput Sequence Data</w:t>
        </w:r>
      </w:hyperlink>
      <w:r>
        <w:t xml:space="preserve">.</w:t>
      </w:r>
      <w:r>
        <w:t xml:space="preserve"> </w:t>
      </w:r>
      <w:hyperlink r:id="rId34">
        <w:r>
          <w:rPr>
            <w:rStyle w:val="InternetLink"/>
          </w:rPr>
          <w:t xml:space="preserve">https://www.bioinformatics.babraham.ac.uk/projects/fastqc/</w:t>
        </w:r>
      </w:hyperlink>
      <w:r>
        <w:t xml:space="preserve">; Babraham Bioinformatics, Babraham Institute, Cambridge, United Kingdom, 2010.</w:t>
      </w:r>
    </w:p>
    <w:bookmarkEnd w:id="35"/>
    <w:bookmarkStart w:id="37" w:name="ref-bolger2014trimmomatic"/>
    <w:p>
      <w:pPr>
        <w:pStyle w:val="Bibliography"/>
      </w:pPr>
      <w:r>
        <w:t xml:space="preserve">Bolger AM, Lohse M, Usadel B.</w:t>
      </w:r>
      <w:r>
        <w:t xml:space="preserve"> </w:t>
      </w:r>
      <w:hyperlink r:id="rId36">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7"/>
    <w:bookmarkStart w:id="39" w:name="ref-cock2009biopython"/>
    <w:p>
      <w:pPr>
        <w:pStyle w:val="Bibliography"/>
      </w:pPr>
      <w:r>
        <w:t xml:space="preserve">Cock PJ, Antao T, Chang JT</w:t>
      </w:r>
      <w:r>
        <w:t xml:space="preserve"> </w:t>
      </w:r>
      <w:r>
        <w:rPr>
          <w:iCs/>
          <w:i/>
        </w:rPr>
        <w:t xml:space="preserve">et al.</w:t>
      </w:r>
      <w:r>
        <w:t xml:space="preserve"> </w:t>
      </w:r>
      <w:hyperlink r:id="rId38">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9"/>
    <w:bookmarkStart w:id="41" w:name="ref-cock2010sanger"/>
    <w:p>
      <w:pPr>
        <w:pStyle w:val="Bibliography"/>
      </w:pPr>
      <w:r>
        <w:t xml:space="preserve">Cock PJ, Fields CJ, Goto N</w:t>
      </w:r>
      <w:r>
        <w:t xml:space="preserve"> </w:t>
      </w:r>
      <w:r>
        <w:rPr>
          <w:iCs/>
          <w:i/>
        </w:rPr>
        <w:t xml:space="preserve">et al.</w:t>
      </w:r>
      <w:r>
        <w:t xml:space="preserve"> </w:t>
      </w:r>
      <w:hyperlink r:id="rId40">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1"/>
    <w:bookmarkStart w:id="42"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2"/>
    <w:bookmarkStart w:id="44" w:name="ref-gurevich2013quast"/>
    <w:p>
      <w:pPr>
        <w:pStyle w:val="Bibliography"/>
      </w:pPr>
      <w:r>
        <w:t xml:space="preserve">Gurevich A, Saveliev V, Vyahhi N</w:t>
      </w:r>
      <w:r>
        <w:t xml:space="preserve"> </w:t>
      </w:r>
      <w:r>
        <w:rPr>
          <w:iCs/>
          <w:i/>
        </w:rPr>
        <w:t xml:space="preserve">et al.</w:t>
      </w:r>
      <w:r>
        <w:t xml:space="preserve"> </w:t>
      </w:r>
      <w:hyperlink r:id="rId43">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4"/>
    <w:bookmarkStart w:id="46" w:name="ref-ggpubr"/>
    <w:p>
      <w:pPr>
        <w:pStyle w:val="Bibliography"/>
      </w:pPr>
      <w:r>
        <w:t xml:space="preserve">Kassambara A.</w:t>
      </w:r>
      <w:r>
        <w:t xml:space="preserve"> </w:t>
      </w:r>
      <w:hyperlink r:id="rId45">
        <w:r>
          <w:rPr>
            <w:rStyle w:val="InternetLink"/>
            <w:iCs/>
            <w:i/>
          </w:rPr>
          <w:t xml:space="preserve">Ggpubr: ’Ggplot2’ Based Publication Ready Plots</w:t>
        </w:r>
      </w:hyperlink>
      <w:r>
        <w:t xml:space="preserve">., 2020.</w:t>
      </w:r>
    </w:p>
    <w:bookmarkEnd w:id="46"/>
    <w:bookmarkStart w:id="47" w:name="ref-knausb2023"/>
    <w:p>
      <w:pPr>
        <w:pStyle w:val="Bibliography"/>
      </w:pPr>
      <w:r>
        <w:t xml:space="preserve">Knaus BJ.</w:t>
      </w:r>
      <w:r>
        <w:t xml:space="preserve"> </w:t>
      </w:r>
      <w:r>
        <w:rPr>
          <w:iCs/>
          <w:i/>
        </w:rPr>
        <w:t xml:space="preserve">Nuccomp</w:t>
      </w:r>
      <w:r>
        <w:t xml:space="preserve">.</w:t>
      </w:r>
      <w:r>
        <w:t xml:space="preserve"> </w:t>
      </w:r>
      <w:hyperlink r:id="rId23">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simao2015busco"/>
    <w:p>
      <w:pPr>
        <w:pStyle w:val="Bibliography"/>
      </w:pPr>
      <w:r>
        <w:t xml:space="preserve">Simão FA, Waterhouse RM, Ioannidis P</w:t>
      </w:r>
      <w:r>
        <w:t xml:space="preserve"> </w:t>
      </w:r>
      <w:r>
        <w:rPr>
          <w:iCs/>
          <w:i/>
        </w:rPr>
        <w:t xml:space="preserve">et al.</w:t>
      </w:r>
      <w:r>
        <w:t xml:space="preserve"> </w:t>
      </w:r>
      <w:hyperlink r:id="rId52">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3"/>
    <w:bookmarkStart w:id="55" w:name="ref-ggplot2"/>
    <w:p>
      <w:pPr>
        <w:pStyle w:val="Bibliography"/>
      </w:pPr>
      <w:r>
        <w:t xml:space="preserve">Wickham H.</w:t>
      </w:r>
      <w:r>
        <w:t xml:space="preserve"> </w:t>
      </w:r>
      <w:hyperlink r:id="rId54">
        <w:r>
          <w:rPr>
            <w:rStyle w:val="InternetLink"/>
            <w:iCs/>
            <w:i/>
          </w:rPr>
          <w:t xml:space="preserve">Ggplot2: Elegant Graphics for Data Analysis</w:t>
        </w:r>
      </w:hyperlink>
      <w:r>
        <w:t xml:space="preserve">. Springer-Verlag New York, 2016.</w:t>
      </w:r>
    </w:p>
    <w:bookmarkEnd w:id="55"/>
    <w:bookmarkStart w:id="57" w:name="ref-rmarkdown"/>
    <w:p>
      <w:pPr>
        <w:pStyle w:val="Bibliography"/>
      </w:pPr>
      <w:r>
        <w:t xml:space="preserve">Xie Y, Allaire JJ, Grolemund G.</w:t>
      </w:r>
      <w:r>
        <w:t xml:space="preserve"> </w:t>
      </w:r>
      <w:hyperlink r:id="rId56">
        <w:r>
          <w:rPr>
            <w:rStyle w:val="InternetLink"/>
            <w:iCs/>
            <w:i/>
          </w:rPr>
          <w:t xml:space="preserve">R Markdown: The Definitive Guide</w:t>
        </w:r>
      </w:hyperlink>
      <w:r>
        <w:t xml:space="preserve">. Boca Raton, Florida: Chapman; Hall/CRC, 2018.</w:t>
      </w:r>
    </w:p>
    <w:bookmarkEnd w:id="57"/>
    <w:bookmarkEnd w:id="58"/>
    <w:bookmarkEnd w:id="59"/>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Pages>
  <Words>166</Words>
  <Characters>767</Characters>
  <CharactersWithSpaces>979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2024-01-25T21:57:43Z</dcterms:created>
  <dcterms:modified xsi:type="dcterms:W3CDTF">2024-01-25T21:57:43Z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January 25</vt:lpwstr>
  </property>
  <property fmtid="{D5CDD505-2E9C-101B-9397-08002B2CF9AE}" pid="5" name="output">
    <vt:lpwstr/>
  </property>
</Properties>
</file>