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3.png" ContentType="image/png"/>
  <Override PartName="/word/media/rId46.png" ContentType="image/png"/>
  <Override PartName="/word/media/rId52.png" ContentType="image/png"/>
  <Override PartName="/word/media/rId48.png" ContentType="image/png"/>
  <Override PartName="/word/media/rId47.png" ContentType="image/png"/>
  <Override PartName="/word/media/rId49.png" ContentType="image/png"/>
  <Override PartName="/word/media/rId50.png" ContentType="image/png"/>
  <Override PartName="/word/media/rId51.png" ContentType="image/png"/>
  <Override PartName="/word/media/rId54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e8ed15deb0e81a9c1aa8c7d5d35385d73335564"/>
      <w:r>
        <w:t xml:space="preserve">A survey-anchored synthetic persona dataset with crime-prevention behavioral attributes for Korean police-administration research</w:t>
      </w:r>
      <w:bookmarkEnd w:id="20"/>
    </w:p>
    <w:p>
      <w:pPr>
        <w:pStyle w:val="Heading2"/>
      </w:pPr>
      <w:bookmarkStart w:id="21" w:name="X962e637031ceb334951d28a249fa349b91cdc39"/>
      <w:r>
        <w:rPr>
          <w:b/>
        </w:rPr>
        <w:t xml:space="preserve">Manuscript type:</w:t>
      </w:r>
      <w:r>
        <w:t xml:space="preserve"> </w:t>
      </w:r>
      <w:r>
        <w:t xml:space="preserve">Data Descriptor (target:</w:t>
      </w:r>
      <w:r>
        <w:t xml:space="preserve"> </w:t>
      </w:r>
      <w:r>
        <w:rPr>
          <w:i/>
        </w:rPr>
        <w:t xml:space="preserve">Scientific Data</w:t>
      </w:r>
      <w:r>
        <w:t xml:space="preserve">; fallback:</w:t>
      </w:r>
      <w:r>
        <w:t xml:space="preserve"> </w:t>
      </w:r>
      <w:r>
        <w:rPr>
          <w:i/>
        </w:rPr>
        <w:t xml:space="preserve">Data in Brief</w:t>
      </w:r>
      <w:r>
        <w:t xml:space="preserve">)</w:t>
      </w:r>
      <w:bookmarkEnd w:id="21"/>
    </w:p>
    <w:p>
      <w:pPr>
        <w:pStyle w:val="Heading2"/>
      </w:pPr>
      <w:bookmarkStart w:id="22" w:name="background-summary"/>
      <w:r>
        <w:t xml:space="preserve">1. Background &amp; Summary</w:t>
      </w:r>
      <w:bookmarkEnd w:id="22"/>
    </w:p>
    <w:p>
      <w:pPr>
        <w:pStyle w:val="FirstParagraph"/>
      </w:pPr>
      <w:r>
        <w:t xml:space="preserve">Korean police-prevention research needs persona populations that are demographically faithful and</w:t>
      </w:r>
      <w:r>
        <w:t xml:space="preserve"> </w:t>
      </w:r>
      <w:r>
        <w:t xml:space="preserve">carry the behavioral variables prevention work turns on — digital-payment unfamiliarity, financial</w:t>
      </w:r>
      <w:r>
        <w:t xml:space="preserve"> </w:t>
      </w:r>
      <w:r>
        <w:t xml:space="preserve">strain, social isolation, prior victimization, willingness to report. Demographically realistic</w:t>
      </w:r>
      <w:r>
        <w:t xml:space="preserve"> </w:t>
      </w:r>
      <w:r>
        <w:t xml:space="preserve">synthetic populations already exist: NVIDIA’s Nemotron-Personas-Korea [1] provides one million Korean</w:t>
      </w:r>
      <w:r>
        <w:t xml:space="preserve"> </w:t>
      </w:r>
      <w:r>
        <w:t xml:space="preserve">personas validated against KOSIS census margins [2]. The behavioral and victimization layer is missing.</w:t>
      </w:r>
      <w:r>
        <w:t xml:space="preserve"> </w:t>
      </w:r>
      <w:r>
        <w:t xml:space="preserve">A researcher assembling an elderly voice-phishing cohort can filter on age, household type, and</w:t>
      </w:r>
      <w:r>
        <w:t xml:space="preserve"> </w:t>
      </w:r>
      <w:r>
        <w:t xml:space="preserve">education, but cannot read off that cohort’s digital literacy or authority deference — those fields</w:t>
      </w:r>
      <w:r>
        <w:t xml:space="preserve"> </w:t>
      </w:r>
      <w:r>
        <w:t xml:space="preserve">are not in the backbone.</w:t>
      </w:r>
    </w:p>
    <w:p>
      <w:pPr>
        <w:pStyle w:val="BodyText"/>
      </w:pPr>
      <w:r>
        <w:t xml:space="preserve">This dataset adds that layer. The method is survey-conditioned enrichment. Each behavioral attribute</w:t>
      </w:r>
      <w:r>
        <w:t xml:space="preserve"> </w:t>
      </w:r>
      <w:r>
        <w:t xml:space="preserve">is sampled from the conditional distribution of a real Korean survey, and a pinned language model only</w:t>
      </w:r>
      <w:r>
        <w:t xml:space="preserve"> </w:t>
      </w:r>
      <w:r>
        <w:t xml:space="preserve">renders the sampled value into first-person narrative. The model is given each value and writes the</w:t>
      </w:r>
      <w:r>
        <w:t xml:space="preserve"> </w:t>
      </w:r>
      <w:r>
        <w:t xml:space="preserve">narrative around it; it does not infer the value. Because attributes are drawn from survey conditionals, each attribute’s marginal — conditional on its</w:t>
      </w:r>
      <w:r>
        <w:t xml:space="preserve"> </w:t>
      </w:r>
      <w:r>
        <w:t xml:space="preserve">anchor cell — matches the source survey by construction, not by assertion. §4.1 reports this cell by</w:t>
      </w:r>
      <w:r>
        <w:t xml:space="preserve"> </w:t>
      </w:r>
      <w:r>
        <w:t xml:space="preserve">cell (largest per-attribute deviation 0.0020 in total variation); it is mainly a claim about marginals.</w:t>
      </w:r>
      <w:r>
        <w:t xml:space="preserve"> </w:t>
      </w:r>
      <w:r>
        <w:t xml:space="preserve">The joint distribution is modeled only partially — §4.5 characterizes what is captured (shared-demographic</w:t>
      </w:r>
      <w:r>
        <w:t xml:space="preserve"> </w:t>
      </w:r>
      <w:r>
        <w:t xml:space="preserve">conditioning plus one observed survey joint) and what is left as stated conditional independence.</w:t>
      </w:r>
    </w:p>
    <w:p>
      <w:pPr>
        <w:pStyle w:val="BodyText"/>
      </w:pPr>
      <w:r>
        <w:t xml:space="preserve">Four pieces make up the release: the enriched one-million-persona dataset, the construction code, the</w:t>
      </w:r>
      <w:r>
        <w:t xml:space="preserve"> </w:t>
      </w:r>
      <w:r>
        <w:t xml:space="preserve">anchor-table specifications with their survey provenance, and a technical validation covering</w:t>
      </w:r>
      <w:r>
        <w:t xml:space="preserve"> </w:t>
      </w:r>
      <w:r>
        <w:t xml:space="preserve">distributional fidelity, round-trip consistency, and a worked cohort demonstration. The contribution</w:t>
      </w:r>
      <w:r>
        <w:t xml:space="preserve"> </w:t>
      </w:r>
      <w:r>
        <w:t xml:space="preserve">is the anchoring procedure, not the backbone. Provenance is layered: NVIDIA supplies the</w:t>
      </w:r>
      <w:r>
        <w:t xml:space="preserve"> </w:t>
      </w:r>
      <w:r>
        <w:t xml:space="preserve">demographic spine (CC-BY-4.0), national surveys supply the conditional distributions, and this work</w:t>
      </w:r>
      <w:r>
        <w:t xml:space="preserve"> </w:t>
      </w:r>
      <w:r>
        <w:t xml:space="preserve">supplies the schema, the sampling, and the validation. Nothing here claims the personas are real</w:t>
      </w:r>
      <w:r>
        <w:t xml:space="preserve"> </w:t>
      </w:r>
      <w:r>
        <w:t xml:space="preserve">or that the attributes were measured on individuals.</w:t>
      </w:r>
    </w:p>
    <w:p>
      <w:pPr>
        <w:pStyle w:val="BodyText"/>
      </w:pPr>
      <w:r>
        <w:t xml:space="preserve">A companion study (Paper F, in preparation) works the other side of the same data: whether synthetic</w:t>
      </w:r>
      <w:r>
        <w:t xml:space="preserve"> </w:t>
      </w:r>
      <w:r>
        <w:t xml:space="preserve">Korean personas are demographically and structurally faithful enough to stand in for a real</w:t>
      </w:r>
      <w:r>
        <w:t xml:space="preserve"> </w:t>
      </w:r>
      <w:r>
        <w:t xml:space="preserve">population. This dataset assumes that faithfulness and builds on top of it. The two share raw survey</w:t>
      </w:r>
      <w:r>
        <w:t xml:space="preserve"> </w:t>
      </w:r>
      <w:r>
        <w:t xml:space="preserve">inputs but separate cleanly — one validates the backbone, the other augments it — and cite each other</w:t>
      </w:r>
      <w:r>
        <w:t xml:space="preserve"> </w:t>
      </w:r>
      <w:r>
        <w:t xml:space="preserve">to keep the boundary visible. In practice this lets a researcher assemble a cohort,</w:t>
      </w:r>
      <w:r>
        <w:t xml:space="preserve"> </w:t>
      </w:r>
      <w:r>
        <w:t xml:space="preserve">inspect its risk profile, and test a prevention message in simulation before any contact with a real</w:t>
      </w:r>
      <w:r>
        <w:t xml:space="preserve"> </w:t>
      </w:r>
      <w:r>
        <w:t xml:space="preserve">population — none of which the demographic backbone alone supports. The cohorts this builds are</w:t>
      </w:r>
      <w:r>
        <w:t xml:space="preserve"> </w:t>
      </w:r>
      <w:r>
        <w:rPr>
          <w:i/>
        </w:rPr>
        <w:t xml:space="preserve">susceptibility</w:t>
      </w:r>
      <w:r>
        <w:t xml:space="preserve"> </w:t>
      </w:r>
      <w:r>
        <w:t xml:space="preserve">segments, not realized-victim predictions: §5.1 shows that for voice-phishing, realized</w:t>
      </w:r>
      <w:r>
        <w:t xml:space="preserve"> </w:t>
      </w:r>
      <w:r>
        <w:t xml:space="preserve">loss tracks exposure and income, so the layer constructs who is vulnerable to an approach, not who loses</w:t>
      </w:r>
      <w:r>
        <w:t xml:space="preserve"> </w:t>
      </w:r>
      <w:r>
        <w:t xml:space="preserve">most. The inter-attribute joint is adjudicated out-of-sample against a same-respondent elderly survey (§4.6)</w:t>
      </w:r>
      <w:r>
        <w:t xml:space="preserve"> </w:t>
      </w:r>
      <w:r>
        <w:t xml:space="preserve">— quantifying the conditional-independence under-capture, with the elderly single-attribute prevalences</w:t>
      </w:r>
      <w:r>
        <w:t xml:space="preserve"> </w:t>
      </w:r>
      <w:r>
        <w:t xml:space="preserve">recalibrated to that survey (low digital literacy 35% against its 37%) — for the elderly cohort only; the</w:t>
      </w:r>
      <w:r>
        <w:t xml:space="preserve"> </w:t>
      </w:r>
      <w:r>
        <w:t xml:space="preserve">non-elderly joint is not externally identifiable from existing Korean surveys and rests on stated conditional</w:t>
      </w:r>
      <w:r>
        <w:t xml:space="preserve"> </w:t>
      </w:r>
      <w:r>
        <w:t xml:space="preserve">independence. That validation also surfaced a policy-relevant victimology result reported separately.</w:t>
      </w:r>
    </w:p>
    <w:p>
      <w:pPr>
        <w:pStyle w:val="Heading2"/>
      </w:pPr>
      <w:bookmarkStart w:id="23" w:name="methods"/>
      <w:r>
        <w:t xml:space="preserve">2. Methods</w:t>
      </w:r>
      <w:bookmarkEnd w:id="23"/>
    </w:p>
    <w:p>
      <w:pPr>
        <w:pStyle w:val="Heading3"/>
      </w:pPr>
      <w:bookmarkStart w:id="24" w:name="demographic-backbone"/>
      <w:r>
        <w:t xml:space="preserve">2.1 Demographic backbone</w:t>
      </w:r>
      <w:bookmarkEnd w:id="24"/>
    </w:p>
    <w:p>
      <w:pPr>
        <w:pStyle w:val="FirstParagraph"/>
      </w:pPr>
      <w:r>
        <w:t xml:space="preserve">NVIDIA Nemotron-Personas-Korea (1,000,000 personas, CC-BY-4.0) is the backbone, retained unmodified.</w:t>
      </w:r>
      <w:r>
        <w:t xml:space="preserve"> </w:t>
      </w:r>
      <w:r>
        <w:t xml:space="preserve">Enrichment is strictly additive: no backbone column is altered. Twelve demographic columns are used</w:t>
      </w:r>
      <w:r>
        <w:t xml:space="preserve"> </w:t>
      </w:r>
      <w:r>
        <w:t xml:space="preserve">for conditioning and selection (</w:t>
      </w:r>
      <w:r>
        <w:rPr>
          <w:rStyle w:val="VerbatimChar"/>
        </w:rPr>
        <w:t xml:space="preserve">sex, age, marital_status, military_status, family_type, housing_type, education_level, bachelors_field, occupation, district, province, country</w:t>
      </w:r>
      <w:r>
        <w:t xml:space="preserve">). Long-form persona text is</w:t>
      </w:r>
      <w:r>
        <w:t xml:space="preserve"> </w:t>
      </w:r>
      <w:r>
        <w:t xml:space="preserve">kept for downstream simulation but is never used as a selection or conditioning criterion, to avoid</w:t>
      </w:r>
      <w:r>
        <w:t xml:space="preserve"> </w:t>
      </w:r>
      <w:r>
        <w:t xml:space="preserve">encoding stereotype content into the filter logic. Coverage is ages 19–99, single country (대한민국);</w:t>
      </w:r>
      <w:r>
        <w:t xml:space="preserve"> </w:t>
      </w:r>
      <w:r>
        <w:t xml:space="preserve">there are no minors.</w:t>
      </w:r>
    </w:p>
    <w:p>
      <w:pPr>
        <w:pStyle w:val="Heading3"/>
      </w:pPr>
      <w:bookmarkStart w:id="25" w:name="attribute-schema"/>
      <w:r>
        <w:t xml:space="preserve">2.2 Attribute schema</w:t>
      </w:r>
      <w:bookmarkEnd w:id="25"/>
    </w:p>
    <w:p>
      <w:pPr>
        <w:pStyle w:val="FirstParagraph"/>
      </w:pPr>
      <w:r>
        <w:t xml:space="preserve">Six behavioral attributes form the released layer. Four are ordinal Likert (1–5):</w:t>
      </w:r>
      <w:r>
        <w:t xml:space="preserve"> </w:t>
      </w:r>
      <w:r>
        <w:t xml:space="preserve">financial_vulnerability, digital_literacy, authority_deference, social_isolation. Two are binary:</w:t>
      </w:r>
      <w:r>
        <w:t xml:space="preserve"> </w:t>
      </w:r>
      <w:r>
        <w:t xml:space="preserve">prior_victimization, reporting_propensity. Each attribute names its anchor source and an</w:t>
      </w:r>
      <w:r>
        <w:t xml:space="preserve"> </w:t>
      </w:r>
      <w:r>
        <w:t xml:space="preserve">anchor-strength tier (Tier 1 = a national survey measures the attribute directly; Tier 2 = anchored on a</w:t>
      </w:r>
      <w:r>
        <w:t xml:space="preserve"> </w:t>
      </w:r>
      <w:r>
        <w:t xml:space="preserve">related survey item through a documented mapping; Tier 3 = no clean survey anchor, qualitative-only). One</w:t>
      </w:r>
      <w:r>
        <w:t xml:space="preserve"> </w:t>
      </w:r>
      <w:r>
        <w:t xml:space="preserve">further attribute, scam_susceptibility, is Tier 3 and is excluded from the quantitative release.</w:t>
      </w:r>
    </w:p>
    <w:p>
      <w:pPr>
        <w:pStyle w:val="Heading3"/>
      </w:pPr>
      <w:bookmarkStart w:id="26" w:name="survey-anchoring"/>
      <w:r>
        <w:t xml:space="preserve">2.3 Survey anchoring</w:t>
      </w:r>
      <w:bookmarkEnd w:id="26"/>
    </w:p>
    <w:p>
      <w:pPr>
        <w:pStyle w:val="FirstParagraph"/>
      </w:pPr>
      <w:r>
        <w:t xml:space="preserve">Each attribute is conditioned on demographic cells and sampled from a weighted survey conditional</w:t>
      </w:r>
      <w:r>
        <w:t xml:space="preserve"> </w:t>
      </w:r>
      <w:r>
        <w:rPr>
          <w:rStyle w:val="VerbatimChar"/>
        </w:rPr>
        <w:t xml:space="preserve">P(level | cell)</w:t>
      </w:r>
      <w:r>
        <w:t xml:space="preserve">. Anchor tables and their provenance: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Anchor source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Survey 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Conditioning cell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financial_vulnerability</w:t>
            </w:r>
          </w:p>
        </w:tc>
        <w:tc>
          <w:p>
            <w:pPr>
              <w:pStyle w:val="Compact"/>
              <w:jc w:val="left"/>
            </w:pPr>
            <w:r>
              <w:t xml:space="preserve">가계금융복지조사 2024 [3]</w:t>
            </w:r>
          </w:p>
        </w:tc>
        <w:tc>
          <w:p>
            <w:pPr>
              <w:pStyle w:val="Compact"/>
              <w:jc w:val="left"/>
            </w:pPr>
            <w:r>
              <w:t xml:space="preserve">18,314</w:t>
            </w:r>
          </w:p>
        </w:tc>
        <w:tc>
          <w:p>
            <w:pPr>
              <w:pStyle w:val="Compact"/>
              <w:jc w:val="left"/>
            </w:pPr>
            <w:r>
              <w:t xml:space="preserve">age_band × education_tier (sex-invariant; household-head proxy)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digital_literacy</w:t>
            </w:r>
          </w:p>
        </w:tc>
        <w:tc>
          <w:p>
            <w:pPr>
              <w:pStyle w:val="Compact"/>
              <w:jc w:val="left"/>
            </w:pPr>
            <w:r>
              <w:t xml:space="preserve">디지털정보격차 2024 (NIA) [4] (19–59); 노인실태조사 2023 [8] (60+, activity instrument)</w:t>
            </w:r>
          </w:p>
        </w:tc>
        <w:tc>
          <w:p>
            <w:pPr>
              <w:pStyle w:val="Compact"/>
              <w:jc w:val="left"/>
            </w:pPr>
            <w:r>
              <w:t xml:space="preserve">7,000; 10,078</w:t>
            </w:r>
          </w:p>
        </w:tc>
        <w:tc>
          <w:p>
            <w:pPr>
              <w:pStyle w:val="Compact"/>
              <w:jc w:val="left"/>
            </w:pPr>
            <w:r>
              <w:t xml:space="preserve">age_band × education_tier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authority_deference</w:t>
            </w:r>
          </w:p>
        </w:tc>
        <w:tc>
          <w:p>
            <w:pPr>
              <w:pStyle w:val="Compact"/>
              <w:jc w:val="left"/>
            </w:pPr>
            <w:r>
              <w:t xml:space="preserve">KGSS (AUTHORT, 2016) [5]</w:t>
            </w:r>
          </w:p>
        </w:tc>
        <w:tc>
          <w:p>
            <w:pPr>
              <w:pStyle w:val="Compact"/>
              <w:jc w:val="left"/>
            </w:pPr>
            <w:r>
              <w:t xml:space="preserve">922</w:t>
            </w:r>
          </w:p>
        </w:tc>
        <w:tc>
          <w:p>
            <w:pPr>
              <w:pStyle w:val="Compact"/>
              <w:jc w:val="left"/>
            </w:pPr>
            <w:r>
              <w:t xml:space="preserve">age_band × sex × education_tier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social_isolation (structural v2)</w:t>
            </w:r>
          </w:p>
        </w:tc>
        <w:tc>
          <w:p>
            <w:pPr>
              <w:pStyle w:val="Compact"/>
              <w:jc w:val="left"/>
            </w:pPr>
            <w:r>
              <w:t xml:space="preserve">KGSS (support battery, 2004+2012)</w:t>
            </w:r>
          </w:p>
        </w:tc>
        <w:tc>
          <w:p>
            <w:pPr>
              <w:pStyle w:val="Compact"/>
              <w:jc w:val="left"/>
            </w:pPr>
            <w:r>
              <w:t xml:space="preserve">2,686</w:t>
            </w:r>
          </w:p>
        </w:tc>
        <w:tc>
          <w:p>
            <w:pPr>
              <w:pStyle w:val="Compact"/>
              <w:jc w:val="left"/>
            </w:pPr>
            <w:r>
              <w:t xml:space="preserve">age_band × sex × education_tier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prior_victimization</w:t>
            </w:r>
          </w:p>
        </w:tc>
        <w:tc>
          <w:p>
            <w:pPr>
              <w:pStyle w:val="Compact"/>
              <w:jc w:val="left"/>
            </w:pPr>
            <w:r>
              <w:t xml:space="preserve">KCVS 2018 [6]</w:t>
            </w:r>
          </w:p>
        </w:tc>
        <w:tc>
          <w:p>
            <w:pPr>
              <w:pStyle w:val="Compact"/>
              <w:jc w:val="left"/>
            </w:pPr>
            <w:r>
              <w:t xml:space="preserve">12,601</w:t>
            </w:r>
          </w:p>
        </w:tc>
        <w:tc>
          <w:p>
            <w:pPr>
              <w:pStyle w:val="Compact"/>
              <w:jc w:val="left"/>
            </w:pPr>
            <w:r>
              <w:t xml:space="preserve">age × sex × edu (observed joint with reporting)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reporting_propensity</w:t>
            </w:r>
          </w:p>
        </w:tc>
        <w:tc>
          <w:p>
            <w:pPr>
              <w:pStyle w:val="Compact"/>
              <w:jc w:val="left"/>
            </w:pPr>
            <w:r>
              <w:t xml:space="preserve">KCVS 2018</w:t>
            </w:r>
          </w:p>
        </w:tc>
        <w:tc>
          <w:p>
            <w:pPr>
              <w:pStyle w:val="Compact"/>
              <w:jc w:val="left"/>
            </w:pPr>
            <w:r>
              <w:t xml:space="preserve">victims, joint</w:t>
            </w:r>
          </w:p>
        </w:tc>
        <w:tc>
          <w:p>
            <w:pPr>
              <w:pStyle w:val="Compact"/>
              <w:jc w:val="left"/>
            </w:pPr>
            <w:r>
              <w:t xml:space="preserve">age × sex × edu, conditional on victimization</w:t>
            </w:r>
          </w:p>
        </w:tc>
      </w:tr>
    </w:tbl>
    <w:p>
      <w:pPr>
        <w:pStyle w:val="BodyText"/>
      </w:pPr>
      <w:r>
        <w:t xml:space="preserve">Sampling is seed-fixed (</w:t>
      </w:r>
      <w:r>
        <w:rPr>
          <w:rStyle w:val="VerbatimChar"/>
        </w:rPr>
        <w:t xml:space="preserve">random_state=42</w:t>
      </w:r>
      <w:r>
        <w:t xml:space="preserve">). The</w:t>
      </w:r>
      <w:r>
        <w:t xml:space="preserve"> </w:t>
      </w:r>
      <w:r>
        <w:rPr>
          <w:rStyle w:val="VerbatimChar"/>
        </w:rPr>
        <w:t xml:space="preserve">reporting_propensity</w:t>
      </w:r>
      <w:r>
        <w:t xml:space="preserve"> </w:t>
      </w:r>
      <w:r>
        <w:t xml:space="preserve">cell among the oldest victims is</w:t>
      </w:r>
      <w:r>
        <w:t xml:space="preserve"> </w:t>
      </w:r>
      <w:r>
        <w:t xml:space="preserve">low-N (a survey subsample), flagged for interpretation in §5. Most attributes now condition on</w:t>
      </w:r>
      <w:r>
        <w:t xml:space="preserve"> </w:t>
      </w:r>
      <w:r>
        <w:t xml:space="preserve">age × sex × education where their survey records all three on the same respondents (KGSS, KCVS);</w:t>
      </w:r>
      <w:r>
        <w:t xml:space="preserve"> </w:t>
      </w:r>
      <w:r>
        <w:t xml:space="preserve">financial vulnerability conditions on age × education only and is held sex-invariant (§4.3, §4.5);</w:t>
      </w:r>
      <w:r>
        <w:t xml:space="preserve"> </w:t>
      </w:r>
      <w:r>
        <w:t xml:space="preserve">sparse cells fall back to a coarser demographic subset rather than to a fabricated value.</w:t>
      </w:r>
      <w:r>
        <w:t xml:space="preserve"> </w:t>
      </w:r>
      <w:r>
        <w:t xml:space="preserve">Education tier is higher = {4-year university, 2–3-year college, graduate school} and lower otherwise.</w:t>
      </w:r>
      <w:r>
        <w:t xml:space="preserve"> </w:t>
      </w:r>
      <w:r>
        <w:t xml:space="preserve">Attributes are not drawn fully independently, but the structure between them is deliberately modest and</w:t>
      </w:r>
      <w:r>
        <w:t xml:space="preserve"> </w:t>
      </w:r>
      <w:r>
        <w:t xml:space="preserve">we are explicit about its limits. Where two attributes come from the same survey and the same</w:t>
      </w:r>
      <w:r>
        <w:t xml:space="preserve"> </w:t>
      </w:r>
      <w:r>
        <w:t xml:space="preserve">respondents — victimization and reporting in KCVS — the dataset samples them from the observed joint,</w:t>
      </w:r>
      <w:r>
        <w:t xml:space="preserve"> </w:t>
      </w:r>
      <w:r>
        <w:t xml:space="preserve">so that pair carries the covariance the survey itself measured. For the rest, conditioning each</w:t>
      </w:r>
      <w:r>
        <w:t xml:space="preserve"> </w:t>
      </w:r>
      <w:r>
        <w:t xml:space="preserve">attribute on shared demographics (age, plus sex and education where a survey records them on the same</w:t>
      </w:r>
      <w:r>
        <w:t xml:space="preserve"> </w:t>
      </w:r>
      <w:r>
        <w:t xml:space="preserve">respondents) lets common demographic causes induce some cross-attribute association instead of forcing</w:t>
      </w:r>
      <w:r>
        <w:t xml:space="preserve"> </w:t>
      </w:r>
      <w:r>
        <w:t xml:space="preserve">independence. This is a partial, demographic-channel structure rather than a full joint model.</w:t>
      </w:r>
      <w:r>
        <w:t xml:space="preserve"> </w:t>
      </w:r>
      <w:r>
        <w:t xml:space="preserve">Associations that no single survey measures on the same people — most cross-survey pairs — still rest</w:t>
      </w:r>
      <w:r>
        <w:t xml:space="preserve"> </w:t>
      </w:r>
      <w:r>
        <w:t xml:space="preserve">on conditional independence given the demographic vector. How</w:t>
      </w:r>
      <w:r>
        <w:t xml:space="preserve"> </w:t>
      </w:r>
      <w:r>
        <w:t xml:space="preserve">closely this conditioning approximates the real Korean joint distribution is an open question, and one</w:t>
      </w:r>
      <w:r>
        <w:t xml:space="preserve"> </w:t>
      </w:r>
      <w:r>
        <w:t xml:space="preserve">we expect reusers to test further; the release labels throughout which associations are measured and</w:t>
      </w:r>
      <w:r>
        <w:t xml:space="preserve"> </w:t>
      </w:r>
      <w:r>
        <w:t xml:space="preserve">which are assumed.</w:t>
      </w:r>
    </w:p>
    <w:p>
      <w:pPr>
        <w:pStyle w:val="Heading3"/>
      </w:pPr>
      <w:bookmarkStart w:id="27" w:name="X455e3b60bf4f578a50825e39041c329cb4c0daf"/>
      <w:r>
        <w:t xml:space="preserve">2.4 LLM narrative realization (render-not-estimate)</w:t>
      </w:r>
      <w:bookmarkEnd w:id="27"/>
    </w:p>
    <w:p>
      <w:pPr>
        <w:pStyle w:val="FirstParagraph"/>
      </w:pPr>
      <w:r>
        <w:t xml:space="preserve">Stage 2 hands each persona’s</w:t>
      </w:r>
      <w:r>
        <w:t xml:space="preserve"> </w:t>
      </w:r>
      <w:r>
        <w:rPr>
          <w:i/>
        </w:rPr>
        <w:t xml:space="preserve">fixed</w:t>
      </w:r>
      <w:r>
        <w:t xml:space="preserve"> </w:t>
      </w:r>
      <w:r>
        <w:t xml:space="preserve">attribute vector to a pinned LLM and asks for a 4–6 sentence</w:t>
      </w:r>
      <w:r>
        <w:t xml:space="preserve"> </w:t>
      </w:r>
      <w:r>
        <w:t xml:space="preserve">first-person Korean narrative consistent with those values. The prompt states the values are fixed</w:t>
      </w:r>
      <w:r>
        <w:t xml:space="preserve"> </w:t>
      </w:r>
      <w:r>
        <w:t xml:space="preserve">inputs to express, not to estimate. The model snapshot is pinned (no floating alias) and the actual</w:t>
      </w:r>
      <w:r>
        <w:t xml:space="preserve"> </w:t>
      </w:r>
      <w:r>
        <w:t xml:space="preserve">responding model id is captured per record. The released code reads the key from the environment;</w:t>
      </w:r>
      <w:r>
        <w:t xml:space="preserve"> </w:t>
      </w:r>
      <w:r>
        <w:t xml:space="preserve">no key is embedded. A deterministic stub allows the pipeline to run without a key for plumbing tests.</w:t>
      </w:r>
    </w:p>
    <w:p>
      <w:pPr>
        <w:pStyle w:val="Heading3"/>
      </w:pPr>
      <w:bookmarkStart w:id="28" w:name="round-trip-consistency-audit"/>
      <w:r>
        <w:t xml:space="preserve">2.5 Round-trip consistency audit</w:t>
      </w:r>
      <w:bookmarkEnd w:id="28"/>
    </w:p>
    <w:p>
      <w:pPr>
        <w:pStyle w:val="FirstParagraph"/>
      </w:pPr>
      <w:r>
        <w:t xml:space="preserve">Stage 3 re-extracts each Likert attribute’s level from the generated narrative and compares it to the</w:t>
      </w:r>
      <w:r>
        <w:t xml:space="preserve"> </w:t>
      </w:r>
      <w:r>
        <w:t xml:space="preserve">sampled value. Agreement measures whether the narrative faithfully encodes the fixed input. The audit</w:t>
      </w:r>
      <w:r>
        <w:t xml:space="preserve"> </w:t>
      </w:r>
      <w:r>
        <w:t xml:space="preserve">covers all four Likert attributes; each adds one extractor call per record in the real pass.</w:t>
      </w:r>
    </w:p>
    <w:p>
      <w:pPr>
        <w:pStyle w:val="Heading2"/>
      </w:pPr>
      <w:bookmarkStart w:id="29" w:name="data-records"/>
      <w:r>
        <w:t xml:space="preserve">3. Data Records</w:t>
      </w:r>
      <w:bookmarkEnd w:id="29"/>
    </w:p>
    <w:p>
      <w:pPr>
        <w:pStyle w:val="FirstParagraph"/>
      </w:pPr>
      <w:r>
        <w:t xml:space="preserve">This release comprises: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Enriched personas (v4, Route-B)</w:t>
      </w:r>
      <w:r>
        <w:t xml:space="preserve"> </w:t>
      </w:r>
      <w:r>
        <w:t xml:space="preserve">— 1,000,000 rows, backbone columns plus</w:t>
      </w:r>
      <w:r>
        <w:t xml:space="preserve"> </w:t>
      </w:r>
      <w:r>
        <w:rPr>
          <w:rStyle w:val="VerbatimChar"/>
        </w:rPr>
        <w:t xml:space="preserve">attr_{financial_vulnerability,   digital_literacy, authority_deference, social_isolation, prior_victimization, reporting_propensity}</w:t>
      </w:r>
      <w:r>
        <w:t xml:space="preserve">,</w:t>
      </w:r>
      <w:r>
        <w:t xml:space="preserve"> </w:t>
      </w:r>
      <w:r>
        <w:t xml:space="preserve">in partitioned parquet (</w:t>
      </w:r>
      <w:r>
        <w:rPr>
          <w:rStyle w:val="VerbatimChar"/>
        </w:rPr>
        <w:t xml:space="preserve">enriched_1M_v4_parts/</w:t>
      </w:r>
      <w:r>
        <w:t xml:space="preserve">, 9 parts, footer-verified) and CSV samples. v4 is the</w:t>
      </w:r>
      <w:r>
        <w:t xml:space="preserve"> </w:t>
      </w:r>
      <w:r>
        <w:t xml:space="preserve">validated artifact: B1 conditioning (age × sex × education where a survey records all three on the same</w:t>
      </w:r>
      <w:r>
        <w:t xml:space="preserve"> </w:t>
      </w:r>
      <w:r>
        <w:t xml:space="preserve">respondents), the B2 observed PV × RP joint, and the elderly digital-literacy anchor recalibrated to</w:t>
      </w:r>
      <w:r>
        <w:t xml:space="preserve"> </w:t>
      </w:r>
      <w:r>
        <w:t xml:space="preserve">노인실태조사 2023 (§2.3, §4.6); it is otherwise identical to v3.</w:t>
      </w:r>
      <w:r>
        <w:t xml:space="preserve"> </w:t>
      </w:r>
      <w:r>
        <w:rPr>
          <w:b/>
        </w:rPr>
        <w:t xml:space="preserve">Schema note:</w:t>
      </w:r>
      <w:r>
        <w:t xml:space="preserve"> </w:t>
      </w:r>
      <w:r>
        <w:t xml:space="preserve">the elderly (65+)</w:t>
      </w:r>
      <w:r>
        <w:t xml:space="preserve"> </w:t>
      </w:r>
      <w:r>
        <w:rPr>
          <w:rStyle w:val="VerbatimChar"/>
        </w:rPr>
        <w:t xml:space="preserve">attr_digital_literacy</w:t>
      </w:r>
      <w:r>
        <w:t xml:space="preserve"> </w:t>
      </w:r>
      <w:r>
        <w:t xml:space="preserve">is anchored to the 노인실태조사 2023 activity instrument (§2.3, §4.6); its elderly low-literacy marginal (35%) matches that survey’s 37%. The non-elderly digital-literacy marginal reflects the NIA competency instrument.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Narratives</w:t>
      </w:r>
      <w:r>
        <w:t xml:space="preserve"> </w:t>
      </w:r>
      <w:r>
        <w:t xml:space="preserve">— JSONL (</w:t>
      </w:r>
      <w:r>
        <w:rPr>
          <w:rStyle w:val="VerbatimChar"/>
        </w:rPr>
        <w:t xml:space="preserve">enriched_stage23.jsonl</w:t>
      </w:r>
      <w:r>
        <w:t xml:space="preserve"> </w:t>
      </w:r>
      <w:r>
        <w:t xml:space="preserve">full release;</w:t>
      </w:r>
      <w:r>
        <w:t xml:space="preserve"> </w:t>
      </w:r>
      <w:r>
        <w:rPr>
          <w:rStyle w:val="VerbatimChar"/>
        </w:rPr>
        <w:t xml:space="preserve">enriched_stage23_N2000.jsonl</w:t>
      </w:r>
      <w:r>
        <w:t xml:space="preserve"> </w:t>
      </w:r>
      <w:r>
        <w:t xml:space="preserve">the</w:t>
      </w:r>
      <w:r>
        <w:t xml:space="preserve"> </w:t>
      </w:r>
      <w:r>
        <w:t xml:space="preserve">stratified round-trip probe of §4.2): per-record</w:t>
      </w:r>
      <w:r>
        <w:t xml:space="preserve"> </w:t>
      </w:r>
      <w:r>
        <w:rPr>
          <w:rStyle w:val="VerbatimChar"/>
        </w:rPr>
        <w:t xml:space="preserve">attr</w:t>
      </w:r>
      <w:r>
        <w:t xml:space="preserve">,</w:t>
      </w:r>
      <w:r>
        <w:t xml:space="preserve"> </w:t>
      </w:r>
      <w:r>
        <w:rPr>
          <w:rStyle w:val="VerbatimChar"/>
        </w:rPr>
        <w:t xml:space="preserve">attr_narrative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roundtrip_&lt;attr&gt;</w:t>
      </w:r>
      <w:r>
        <w:t xml:space="preserve">, mismatch flags, and</w:t>
      </w:r>
      <w:r>
        <w:t xml:space="preserve"> </w:t>
      </w:r>
      <w:r>
        <w:rPr>
          <w:rStyle w:val="VerbatimChar"/>
        </w:rPr>
        <w:t xml:space="preserve">gen_meta</w:t>
      </w:r>
      <w:r>
        <w:t xml:space="preserve"> </w:t>
      </w:r>
      <w:r>
        <w:t xml:space="preserve">(actual model, provider, pinned model).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Anchor tables</w:t>
      </w:r>
      <w:r>
        <w:t xml:space="preserve"> </w:t>
      </w:r>
      <w:r>
        <w:t xml:space="preserve">— base CSVs plus the anchors (</w:t>
      </w:r>
      <w:r>
        <w:rPr>
          <w:rStyle w:val="VerbatimChar"/>
        </w:rPr>
        <w:t xml:space="preserve">config/anchors/*_b1.csv</w:t>
      </w:r>
      <w:r>
        <w:t xml:space="preserve"> </w:t>
      </w:r>
      <w:r>
        <w:t xml:space="preserve">for the age × sex × edu</w:t>
      </w:r>
      <w:r>
        <w:t xml:space="preserve"> </w:t>
      </w:r>
      <w:r>
        <w:t xml:space="preserve">conditioning,</w:t>
      </w:r>
      <w:r>
        <w:t xml:space="preserve"> </w:t>
      </w:r>
      <w:r>
        <w:rPr>
          <w:rStyle w:val="VerbatimChar"/>
        </w:rPr>
        <w:t xml:space="preserve">kcvs_joint_b2.csv</w:t>
      </w:r>
      <w:r>
        <w:t xml:space="preserve"> </w:t>
      </w:r>
      <w:r>
        <w:t xml:space="preserve">for the observed PV × RP joint) with</w:t>
      </w:r>
      <w:r>
        <w:t xml:space="preserve"> </w:t>
      </w:r>
      <w:r>
        <w:rPr>
          <w:rStyle w:val="VerbatimChar"/>
        </w:rPr>
        <w:t xml:space="preserve">.source.json</w:t>
      </w:r>
      <w:r>
        <w:t xml:space="preserve"> </w:t>
      </w:r>
      <w:r>
        <w:t xml:space="preserve">provenance.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Code</w:t>
      </w:r>
      <w:r>
        <w:t xml:space="preserve"> </w:t>
      </w:r>
      <w:r>
        <w:t xml:space="preserve">— construction (</w:t>
      </w:r>
      <w:r>
        <w:rPr>
          <w:rStyle w:val="VerbatimChar"/>
        </w:rPr>
        <w:t xml:space="preserve">build_anchor_b1.py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build_anchor_kcvs_joint.py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build_anchor_fv_b1.py</w:t>
      </w:r>
      <w:r>
        <w:t xml:space="preserve">,</w:t>
      </w:r>
      <w:r>
        <w:t xml:space="preserve"> </w:t>
      </w:r>
      <w:r>
        <w:rPr>
          <w:rStyle w:val="VerbatimChar"/>
        </w:rPr>
        <w:t xml:space="preserve">enrich_stage1.py --b2</w:t>
      </w:r>
      <w:r>
        <w:t xml:space="preserve">,</w:t>
      </w:r>
      <w:r>
        <w:t xml:space="preserve"> </w:t>
      </w:r>
      <w:r>
        <w:rPr>
          <w:rStyle w:val="VerbatimChar"/>
        </w:rPr>
        <w:t xml:space="preserve">enrich_stage2_3.py</w:t>
      </w:r>
      <w:r>
        <w:t xml:space="preserve">) and validation (</w:t>
      </w:r>
      <w:r>
        <w:rPr>
          <w:rStyle w:val="VerbatimChar"/>
        </w:rPr>
        <w:t xml:space="preserve">validate_fidelity.py --v3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validate_roundtrip.py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audit_joint.py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crossmodel_extract.py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demo_cohort.py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fig_pipeline.py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audit_stereotype.py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build_face_validity_sheet.py</w:t>
      </w:r>
      <w:r>
        <w:t xml:space="preserve">).</w:t>
      </w:r>
    </w:p>
    <w:p>
      <w:pPr>
        <w:pStyle w:val="FirstParagraph"/>
      </w:pPr>
      <w:r>
        <w:t xml:space="preserve">The raw 1M backbone is not redistributed; users download it from the upstream source. Aggregate</w:t>
      </w:r>
      <w:r>
        <w:t xml:space="preserve"> </w:t>
      </w:r>
      <w:r>
        <w:t xml:space="preserve">anchor tables are public with source attribution. Code is MIT; derived data and docs are CC-BY-4.0.</w:t>
      </w:r>
      <w:r>
        <w:t xml:space="preserve"> </w:t>
      </w:r>
      <w:r>
        <w:t xml:space="preserve">A Zenodo deposit and DOI are pending (§6).</w:t>
      </w:r>
    </w:p>
    <w:p>
      <w:pPr>
        <w:pStyle w:val="Heading2"/>
      </w:pPr>
      <w:bookmarkStart w:id="30" w:name="technical-validation"/>
      <w:r>
        <w:t xml:space="preserve">4. Technical Validation</w:t>
      </w:r>
      <w:bookmarkEnd w:id="30"/>
    </w:p>
    <w:p>
      <w:pPr>
        <w:pStyle w:val="Heading3"/>
      </w:pPr>
      <w:bookmarkStart w:id="31" w:name="X535818b2c3956eec2a20c0b72cf54f1b2b55b02"/>
      <w:r>
        <w:t xml:space="preserve">4.1 Distributional fidelity to anchors (Figure 2)</w:t>
      </w:r>
      <w:bookmarkEnd w:id="31"/>
    </w:p>
    <w:p>
      <w:pPr>
        <w:pStyle w:val="FirstParagraph"/>
      </w:pPr>
      <w:r>
        <w:t xml:space="preserve">Over the full one million records, the synthetic conditional</w:t>
      </w:r>
      <w:r>
        <w:t xml:space="preserve"> </w:t>
      </w:r>
      <w:r>
        <w:rPr>
          <w:rStyle w:val="VerbatimChar"/>
        </w:rPr>
        <w:t xml:space="preserve">P(level | cell)</w:t>
      </w:r>
      <w:r>
        <w:t xml:space="preserve"> </w:t>
      </w:r>
      <w:r>
        <w:t xml:space="preserve">matches each anchor</w:t>
      </w:r>
      <w:r>
        <w:t xml:space="preserve"> </w:t>
      </w:r>
      <w:r>
        <w:t xml:space="preserve">closely. Weighted mean per-cell Total Variation Distance ranges from 0.0007 (prior_victimization ×</w:t>
      </w:r>
      <w:r>
        <w:t xml:space="preserve"> </w:t>
      </w:r>
      <w:r>
        <w:t xml:space="preserve">reporting joint) to 0.0034 (authority_deference); the largest single-cell TVD is 0.0163, in a small</w:t>
      </w:r>
      <w:r>
        <w:t xml:space="preserve"> </w:t>
      </w:r>
      <w:r>
        <w:t xml:space="preserve">authority-deference cell (n ≈ 2,556). The residual is sampling noise, not estimation error — attributes are drawn from the</w:t>
      </w:r>
      <w:r>
        <w:t xml:space="preserve"> </w:t>
      </w:r>
      <w:r>
        <w:t xml:space="preserve">anchors, so the match holds by construction and the deviation shrinks with cell size. Figure 2 plots</w:t>
      </w:r>
      <w:r>
        <w:t xml:space="preserve"> </w:t>
      </w:r>
      <w:r>
        <w:t xml:space="preserve">synthetic against anchor probability across all 80 cell-level pairs (points on the diagonal),</w:t>
      </w:r>
      <w:r>
        <w:t xml:space="preserve"> </w:t>
      </w:r>
      <w:r>
        <w:t xml:space="preserve">digital literacy by age band for the lower-education tier, and the per-attribute deviation. This</w:t>
      </w:r>
      <w:r>
        <w:t xml:space="preserve"> </w:t>
      </w:r>
      <w:r>
        <w:t xml:space="preserve">figure checks the sampler, not the world: because the levels were drawn from these anchors, agreement</w:t>
      </w:r>
      <w:r>
        <w:t xml:space="preserve"> </w:t>
      </w:r>
      <w:r>
        <w:t xml:space="preserve">is expected and the residual is Monte-Carlo noise. It establishes that the construction reproduces its</w:t>
      </w:r>
      <w:r>
        <w:t xml:space="preserve"> </w:t>
      </w:r>
      <w:r>
        <w:t xml:space="preserve">inputs faithfully. Whether the anchors themselves model the Korean population is a separate question,</w:t>
      </w:r>
      <w:r>
        <w:t xml:space="preserve"> </w:t>
      </w:r>
      <w:r>
        <w:t xml:space="preserve">carried by the choice of national-survey sources (§2.3) and, for the realized narratives, by §4.2 and</w:t>
      </w:r>
      <w:r>
        <w:t xml:space="preserve"> </w:t>
      </w:r>
      <w:r>
        <w:t xml:space="preserve">§4.4. One out-of-sample check now addresses this directly. The digital-literacy attribute is anchored</w:t>
      </w:r>
      <w:r>
        <w:t xml:space="preserve"> </w:t>
      </w:r>
      <w:r>
        <w:t xml:space="preserve">on the 디지털정보격차 실태조사 competency battery and never ingests internet-use rates; yet its</w:t>
      </w:r>
      <w:r>
        <w:t xml:space="preserve"> </w:t>
      </w:r>
      <w:r>
        <w:t xml:space="preserve">competency gradient by age rank-predicts the age gradient of internet use measured by a separate</w:t>
      </w:r>
      <w:r>
        <w:t xml:space="preserve"> </w:t>
      </w:r>
      <w:r>
        <w:t xml:space="preserve">national survey (인터넷이용실태조사) [7], across five age bands — Spearman ρ = 0.975 (n = 5; the p-value is uninformative at this n), with both series showing the same</w:t>
      </w:r>
      <w:r>
        <w:t xml:space="preserve"> </w:t>
      </w:r>
      <w:r>
        <w:t xml:space="preserve">elderly cliff (KVRB high-literacy share 28.9% → 5.3% across 45–59 → 75+; external use rate 98.5% →</w:t>
      </w:r>
      <w:r>
        <w:t xml:space="preserve"> </w:t>
      </w:r>
      <w:r>
        <w:t xml:space="preserve">≈52%). Two instruments from two surveys recover the same latent gradient. We report this as suggestive</w:t>
      </w:r>
      <w:r>
        <w:t xml:space="preserve"> </w:t>
      </w:r>
      <w:r>
        <w:t xml:space="preserve">only: with five age bands and both series declining monotonically with age, the rank agreement is close to</w:t>
      </w:r>
      <w:r>
        <w:t xml:space="preserve"> </w:t>
      </w:r>
      <w:r>
        <w:t xml:space="preserve">automatic and carries little independent information — consistent with the competency anchor not being far</w:t>
      </w:r>
      <w:r>
        <w:t xml:space="preserve"> </w:t>
      </w:r>
      <w:r>
        <w:t xml:space="preserve">off for one attribute, no more. (The non-elderly synthetic digital-literacy marginal samples the NIA competency distribution; the elderly</w:t>
      </w:r>
      <w:r>
        <w:t xml:space="preserve"> </w:t>
      </w:r>
      <w:r>
        <w:t xml:space="preserve">marginal is recalibrated to the activity-based 노인실태조사 instrument — see §2.3, §4.6.) The joint across</w:t>
      </w:r>
      <w:r>
        <w:t xml:space="preserve"> </w:t>
      </w:r>
      <w:r>
        <w:t xml:space="preserve">attributes is adjudicated more directly in §4.6. External</w:t>
      </w:r>
      <w:r>
        <w:t xml:space="preserve"> </w:t>
      </w:r>
      <w:r>
        <w:t xml:space="preserve">figures are approximate and the test is rank-based; convergent validity, not identity. (results/C1_external_validity.png.)</w:t>
      </w:r>
    </w:p>
    <w:p>
      <w:pPr>
        <w:pStyle w:val="Heading3"/>
      </w:pPr>
      <w:bookmarkStart w:id="32" w:name="round-trip-agreement-figure-3"/>
      <w:r>
        <w:t xml:space="preserve">4.2 Round-trip agreement (Figure 3)</w:t>
      </w:r>
      <w:bookmarkEnd w:id="32"/>
    </w:p>
    <w:p>
      <w:pPr>
        <w:pStyle w:val="FirstParagraph"/>
      </w:pPr>
      <w:r>
        <w:t xml:space="preserve">The round-trip ran on a stratified 2,000-persona sample (200 per age-band x sex cell) with</w:t>
      </w:r>
      <w:r>
        <w:t xml:space="preserve"> </w:t>
      </w:r>
      <w:r>
        <w:t xml:space="preserve">gemini-2.5-flash, after which the level extractor re-read each Likert value from the generated</w:t>
      </w:r>
      <w:r>
        <w:t xml:space="preserve"> </w:t>
      </w:r>
      <w:r>
        <w:t xml:space="preserve">narrative. On quadratic weighted kappa — the metric that fits an ordinal scale [11] — agreement is</w:t>
      </w:r>
      <w:r>
        <w:t xml:space="preserve"> </w:t>
      </w:r>
      <w:r>
        <w:t xml:space="preserve">substantial to almost perfect: 0.885 for social isolation, 0.879 for financial vulnerability, 0.875</w:t>
      </w:r>
      <w:r>
        <w:t xml:space="preserve"> </w:t>
      </w:r>
      <w:r>
        <w:t xml:space="preserve">for authority deference, and 0.730 for digital literacy. Agreement within one level runs from 91.7%</w:t>
      </w:r>
      <w:r>
        <w:t xml:space="preserve"> </w:t>
      </w:r>
      <w:r>
        <w:t xml:space="preserve">(digital literacy) to 96.6% (authority deference and social isolation); mean absolute error stays</w:t>
      </w:r>
      <w:r>
        <w:t xml:space="preserve"> </w:t>
      </w:r>
      <w:r>
        <w:t xml:space="preserve">between 0.33 and 0.59 of a level. Exact five-level recovery is lower, 58.1% to 73.4%, because</w:t>
      </w:r>
      <w:r>
        <w:t xml:space="preserve"> </w:t>
      </w:r>
      <w:r>
        <w:t xml:space="preserve">natural-language rendering blurs adjacent levels — a narrative written for level 4 (</w:t>
      </w:r>
      <w:r>
        <w:t xml:space="preserve">“</w:t>
      </w:r>
      <w:r>
        <w:t xml:space="preserve">재정적으로 빠듯</w:t>
      </w:r>
      <w:r>
        <w:t xml:space="preserve">”</w:t>
      </w:r>
      <w:r>
        <w:t xml:space="preserve">)</w:t>
      </w:r>
      <w:r>
        <w:t xml:space="preserve"> </w:t>
      </w:r>
      <w:r>
        <w:t xml:space="preserve">is sometimes read back as 3 or 5. The confusion matrices in Figure 3 concentrate on the diagonal and</w:t>
      </w:r>
      <w:r>
        <w:t xml:space="preserve"> </w:t>
      </w:r>
      <w:r>
        <w:t xml:space="preserve">its neighbors. Digital literacy is the weakest, and for a closed-loop encode-decode a kappa of 0.730 with 58.1% exact recovery is mediocre rather than reassuring:</w:t>
      </w:r>
      <w:r>
        <w:t xml:space="preserve"> </w:t>
      </w:r>
      <w:r>
        <w:t xml:space="preserve">a single combined-extraction call recovers all four levels at once, and digital competence is the</w:t>
      </w:r>
      <w:r>
        <w:t xml:space="preserve"> </w:t>
      </w:r>
      <w:r>
        <w:t xml:space="preserve">attribute a reader most often places one step off. This reverses the smaller N=200 pilot, where digital</w:t>
      </w:r>
      <w:r>
        <w:t xml:space="preserve"> </w:t>
      </w:r>
      <w:r>
        <w:t xml:space="preserve">literacy round-tripped best — the larger stratified sample, which loads more sparse elderly and</w:t>
      </w:r>
      <w:r>
        <w:t xml:space="preserve"> </w:t>
      </w:r>
      <w:r>
        <w:t xml:space="preserve">low-education cells, is the more honest estimate.</w:t>
      </w:r>
    </w:p>
    <w:p>
      <w:pPr>
        <w:pStyle w:val="BodyText"/>
      </w:pPr>
      <w:r>
        <w:t xml:space="preserve">A separate check addresses whether agreement is merely a model agreeing with itself. A different</w:t>
      </w:r>
      <w:r>
        <w:t xml:space="preserve"> </w:t>
      </w:r>
      <w:r>
        <w:t xml:space="preserve">provider — OpenAI gpt-4o-2024-11-20 — re-extracted every level from the same 2,000 Gemini narratives.</w:t>
      </w:r>
      <w:r>
        <w:t xml:space="preserve"> </w:t>
      </w:r>
      <w:r>
        <w:t xml:space="preserve">Between-model agreement held, and in fact ran at or above the within-model pass: weighted kappa 0.882</w:t>
      </w:r>
      <w:r>
        <w:t xml:space="preserve"> </w:t>
      </w:r>
      <w:r>
        <w:t xml:space="preserve">(authority deference), 0.887 (financial vulnerability), 0.927 (social isolation), and 0.926 for digital</w:t>
      </w:r>
      <w:r>
        <w:t xml:space="preserve"> </w:t>
      </w:r>
      <w:r>
        <w:t xml:space="preserve">literacy, with within-one agreement 0.988 to 1.000. The digital-literacy result is the informative one.</w:t>
      </w:r>
      <w:r>
        <w:t xml:space="preserve"> </w:t>
      </w:r>
      <w:r>
        <w:t xml:space="preserve">The attribute that round-tripped weakest when Gemini re-read its own output (0.730) recovers at 0.926</w:t>
      </w:r>
      <w:r>
        <w:t xml:space="preserve"> </w:t>
      </w:r>
      <w:r>
        <w:t xml:space="preserve">when an independent model reads the identical narratives — most of the within-model digital-literacy gap</w:t>
      </w:r>
      <w:r>
        <w:t xml:space="preserve"> </w:t>
      </w:r>
      <w:r>
        <w:t xml:space="preserve">therefore sits in the generator’s own decode step, not in the narrative. The encoded level survives a</w:t>
      </w:r>
      <w:r>
        <w:t xml:space="preserve"> </w:t>
      </w:r>
      <w:r>
        <w:t xml:space="preserve">provider boundary, so it is in the text rather than an artifact of one model reading its own output.</w:t>
      </w:r>
      <w:r>
        <w:t xml:space="preserve"> </w:t>
      </w:r>
      <w:r>
        <w:t xml:space="preserve">Two cautions still hold. The round-trip is synthetic throughout — no human re-read — so it measures</w:t>
      </w:r>
      <w:r>
        <w:t xml:space="preserve"> </w:t>
      </w:r>
      <w:r>
        <w:t xml:space="preserve">whether the narrative faithfully encodes the fixed input, not whether a person would read it the same</w:t>
      </w:r>
      <w:r>
        <w:t xml:space="preserve"> </w:t>
      </w:r>
      <w:r>
        <w:t xml:space="preserve">way; a human-coding study in which independent raters score a stratified 100–200-narrative sample</w:t>
      </w:r>
      <w:r>
        <w:t xml:space="preserve"> </w:t>
      </w:r>
      <w:r>
        <w:t xml:space="preserve">blind to the sampled values is the planned extension that breaks this all-synthetic loop, and the rater</w:t>
      </w:r>
      <w:r>
        <w:t xml:space="preserve"> </w:t>
      </w:r>
      <w:r>
        <w:t xml:space="preserve">protocol and sheet are released with the code (</w:t>
      </w:r>
      <w:r>
        <w:rPr>
          <w:rStyle w:val="VerbatimChar"/>
        </w:rPr>
        <w:t xml:space="preserve">src/build_human_reread_sheet.py</w:t>
      </w:r>
      <w:r>
        <w:t xml:space="preserve">). And N = 2,000 is a 0.2% probe of the million, stratified to span the cell range rather than to be</w:t>
      </w:r>
      <w:r>
        <w:t xml:space="preserve"> </w:t>
      </w:r>
      <w:r>
        <w:t xml:space="preserve">representative. Summaries: within-model</w:t>
      </w:r>
      <w:r>
        <w:t xml:space="preserve"> </w:t>
      </w:r>
      <w:r>
        <w:rPr>
          <w:rStyle w:val="VerbatimChar"/>
        </w:rPr>
        <w:t xml:space="preserve">results_N2000/roundtrip_summary.csv</w:t>
      </w:r>
      <w:r>
        <w:t xml:space="preserve">, cross-model</w:t>
      </w:r>
      <w:r>
        <w:t xml:space="preserve"> </w:t>
      </w:r>
      <w:r>
        <w:rPr>
          <w:rStyle w:val="VerbatimChar"/>
        </w:rPr>
        <w:t xml:space="preserve">results_xmodel_N2000/roundtrip_summary.csv</w:t>
      </w:r>
      <w:r>
        <w:t xml:space="preserve">.</w:t>
      </w:r>
    </w:p>
    <w:p>
      <w:pPr>
        <w:pStyle w:val="Heading3"/>
      </w:pPr>
      <w:bookmarkStart w:id="33" w:name="stereotype-audit-figure-5"/>
      <w:r>
        <w:t xml:space="preserve">4.3 Stereotype audit (Figure 5)</w:t>
      </w:r>
      <w:bookmarkEnd w:id="33"/>
    </w:p>
    <w:p>
      <w:pPr>
        <w:pStyle w:val="FirstParagraph"/>
      </w:pPr>
      <w:r>
        <w:t xml:space="preserve">The attributes are sampled on age band, and digital literacy also on education tier. A</w:t>
      </w:r>
      <w:r>
        <w:t xml:space="preserve"> </w:t>
      </w:r>
      <w:r>
        <w:t xml:space="preserve">protected-attribute audit asks whether the released attributes carry association with sex or province</w:t>
      </w:r>
      <w:r>
        <w:t xml:space="preserve"> </w:t>
      </w:r>
      <w:r>
        <w:t xml:space="preserve">that the conditioning does not justify. Two patterns matter. First, digital literacy by sex: its</w:t>
      </w:r>
      <w:r>
        <w:t xml:space="preserve"> </w:t>
      </w:r>
      <w:r>
        <w:t xml:space="preserve">marginal association (Cramér’s V [9] = 0.078) shrinks to 0.005 within the justified age × education cells —</w:t>
      </w:r>
      <w:r>
        <w:t xml:space="preserve"> </w:t>
      </w:r>
      <w:r>
        <w:t xml:space="preserve">the marginal link runs through education tier, a justified conditioner, not through sex itself. Second,</w:t>
      </w:r>
      <w:r>
        <w:t xml:space="preserve"> </w:t>
      </w:r>
      <w:r>
        <w:t xml:space="preserve">and the largest residual in the set under v3 conditioning, authority deference by sex (Cramér’s V =</w:t>
      </w:r>
      <w:r>
        <w:t xml:space="preserve"> </w:t>
      </w:r>
      <w:r>
        <w:t xml:space="preserve">0.145). This is not an artifact the pipeline introduced: authority deference is anchored on KGSS, which</w:t>
      </w:r>
      <w:r>
        <w:t xml:space="preserve"> </w:t>
      </w:r>
      <w:r>
        <w:t xml:space="preserve">records a real individual-level sex difference in deference, so conditioning on age × sex × education</w:t>
      </w:r>
      <w:r>
        <w:t xml:space="preserve"> </w:t>
      </w:r>
      <w:r>
        <w:t xml:space="preserve">reproduces that measured relationship rather than fabricating one. We checked this against the source</w:t>
      </w:r>
      <w:r>
        <w:t xml:space="preserve"> </w:t>
      </w:r>
      <w:r>
        <w:t xml:space="preserve">survey directly: the synthetic authority-deference × sex residual (0.145) falls within KGSS’s own</w:t>
      </w:r>
      <w:r>
        <w:t xml:space="preserve"> </w:t>
      </w:r>
      <w:r>
        <w:t xml:space="preserve">AD × sex confidence interval (V = 0.077, 95% bootstrap CI 0.042–0.164, n = 974), confirming a reproduced</w:t>
      </w:r>
      <w:r>
        <w:t xml:space="preserve"> </w:t>
      </w:r>
      <w:r>
        <w:t xml:space="preserve">rather than an introduced association. Social isolation by sex is the one case where the conditioning</w:t>
      </w:r>
      <w:r>
        <w:t xml:space="preserve"> </w:t>
      </w:r>
      <w:r>
        <w:t xml:space="preserve">mildly over-induces: its synthetic residual (0.084) sits just above the KGSS SI × sex interval (0.025,</w:t>
      </w:r>
      <w:r>
        <w:t xml:space="preserve"> </w:t>
      </w:r>
      <w:r>
        <w:t xml:space="preserve">95% CI 0.011–0.072, n = 2,708), so we flag it as a small amplification, not a faithful reproduction. The</w:t>
      </w:r>
      <w:r>
        <w:t xml:space="preserve"> </w:t>
      </w:r>
      <w:r>
        <w:t xml:space="preserve">two KCVS attributes by sex (≈0.04) are measured relationships; province residuals stay ≤ 0.021 across all attributes. The audit also caught one association the pipeline</w:t>
      </w:r>
      <w:r>
        <w:t xml:space="preserve"> </w:t>
      </w:r>
      <w:r>
        <w:rPr>
          <w:i/>
        </w:rPr>
        <w:t xml:space="preserve">did</w:t>
      </w:r>
      <w:r>
        <w:t xml:space="preserve"> </w:t>
      </w:r>
      <w:r>
        <w:t xml:space="preserve">introduce, and we removed it: an earlier financial-vulnerability-by-sex link of 0.245, traced to</w:t>
      </w:r>
      <w:r>
        <w:t xml:space="preserve"> </w:t>
      </w:r>
      <w:r>
        <w:t xml:space="preserve">household-head sex (heads are 71% male, which does not proxy persona sex). We cut it by making financial</w:t>
      </w:r>
      <w:r>
        <w:t xml:space="preserve"> </w:t>
      </w:r>
      <w:r>
        <w:t xml:space="preserve">vulnerability sex-invariant, after which its residual falls to 0.033. The distinction the audit enforces</w:t>
      </w:r>
      <w:r>
        <w:t xml:space="preserve"> </w:t>
      </w:r>
      <w:r>
        <w:t xml:space="preserve">— measured-and-surfaced versus introduced-and-removed — is the point: Figure 5 reports the full table</w:t>
      </w:r>
      <w:r>
        <w:t xml:space="preserve"> </w:t>
      </w:r>
      <w:r>
        <w:t xml:space="preserve">for the reuser to weigh, flagging authority-deference × sex as a KGSS-grounded relationship to interpret,</w:t>
      </w:r>
      <w:r>
        <w:t xml:space="preserve"> </w:t>
      </w:r>
      <w:r>
        <w:t xml:space="preserve">not a defect to discount. Audit code:</w:t>
      </w:r>
      <w:r>
        <w:t xml:space="preserve"> </w:t>
      </w:r>
      <w:r>
        <w:rPr>
          <w:rStyle w:val="VerbatimChar"/>
        </w:rPr>
        <w:t xml:space="preserve">src/audit_stereotype.py</w:t>
      </w:r>
      <w:r>
        <w:t xml:space="preserve">; full table:</w:t>
      </w:r>
      <w:r>
        <w:t xml:space="preserve"> </w:t>
      </w:r>
      <w:r>
        <w:rPr>
          <w:rStyle w:val="VerbatimChar"/>
        </w:rPr>
        <w:t xml:space="preserve">results/stereotype_audit_v3.csv</w:t>
      </w:r>
      <w:r>
        <w:t xml:space="preserve">; source-survey magnitude check:</w:t>
      </w:r>
      <w:r>
        <w:t xml:space="preserve"> </w:t>
      </w:r>
      <w:r>
        <w:rPr>
          <w:rStyle w:val="VerbatimChar"/>
        </w:rPr>
        <w:t xml:space="preserve">src/validate_residual_magnitude_match.py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results/residual_magnitude_match.csv</w:t>
      </w:r>
      <w:r>
        <w:t xml:space="preserve">.</w:t>
      </w:r>
    </w:p>
    <w:p>
      <w:pPr>
        <w:pStyle w:val="Heading3"/>
      </w:pPr>
      <w:bookmarkStart w:id="34" w:name="face-validity"/>
      <w:r>
        <w:t xml:space="preserve">4.4 Face validity</w:t>
      </w:r>
      <w:bookmarkEnd w:id="34"/>
    </w:p>
    <w:p>
      <w:pPr>
        <w:pStyle w:val="FirstParagraph"/>
      </w:pPr>
      <w:r>
        <w:t xml:space="preserve">Two raters — one author and one independent domain expert — scored the same blind 50-persona sample on</w:t>
      </w:r>
      <w:r>
        <w:t xml:space="preserve"> </w:t>
      </w:r>
      <w:r>
        <w:t xml:space="preserve">two axes: demographic plausibility (1–5) and whether the narrative carried all four codes in the right</w:t>
      </w:r>
      <w:r>
        <w:t xml:space="preserve"> </w:t>
      </w:r>
      <w:r>
        <w:t xml:space="preserve">direction. Mean plausibility was 4.54 and 4.68; the two raters placed 42 and 47 of 50 personas at 4 or 5. Both</w:t>
      </w:r>
      <w:r>
        <w:t xml:space="preserve"> </w:t>
      </w:r>
      <w:r>
        <w:t xml:space="preserve">recorded directional consistency on every narrative for all four attributes (100% / 100%), including</w:t>
      </w:r>
      <w:r>
        <w:t xml:space="preserve"> </w:t>
      </w:r>
      <w:r>
        <w:t xml:space="preserve">the reversed coding of financial vulnerability (higher = more vulnerable) — complete agreement on that</w:t>
      </w:r>
      <w:r>
        <w:t xml:space="preserve"> </w:t>
      </w:r>
      <w:r>
        <w:t xml:space="preserve">axis. The strongest reliability signal is that the two raters independently flagged the</w:t>
      </w:r>
      <w:r>
        <w:t xml:space="preserve"> </w:t>
      </w:r>
      <w:r>
        <w:rPr>
          <w:i/>
        </w:rPr>
        <w:t xml:space="preserve">same</w:t>
      </w:r>
      <w:r>
        <w:t xml:space="preserve"> </w:t>
      </w:r>
      <w:r>
        <w:t xml:space="preserve">personas: the below-4 cases are demographic, not attribute, failures, and both raters named them — two</w:t>
      </w:r>
      <w:r>
        <w:t xml:space="preserve"> </w:t>
      </w:r>
      <w:r>
        <w:t xml:space="preserve">life-course timing errors (a 20-year-old described as a junior-college graduate already in work, which</w:t>
      </w:r>
      <w:r>
        <w:t xml:space="preserve"> </w:t>
      </w:r>
      <w:r>
        <w:t xml:space="preserve">leaves no room for study plus military service; a 23-year-old four-year graduate working as a</w:t>
      </w:r>
      <w:r>
        <w:t xml:space="preserve"> </w:t>
      </w:r>
      <w:r>
        <w:t xml:space="preserve">professional), elderly personas paired with high digital literacy, and family-cohabiting personas</w:t>
      </w:r>
      <w:r>
        <w:t xml:space="preserve"> </w:t>
      </w:r>
      <w:r>
        <w:t xml:space="preserve">sampled at maximum isolation. That convergence both supports inter-rater reliability and confirms these</w:t>
      </w:r>
      <w:r>
        <w:t xml:space="preserve"> </w:t>
      </w:r>
      <w:r>
        <w:t xml:space="preserve">are real limitations (§5.3), not one rater’s idiosyncrasy. The family-cohabiting maximum-isolation</w:t>
      </w:r>
      <w:r>
        <w:t xml:space="preserve"> </w:t>
      </w:r>
      <w:r>
        <w:t xml:space="preserve">cases remain consistent under the structural definition of social_isolation (support-network deficit,</w:t>
      </w:r>
      <w:r>
        <w:t xml:space="preserve"> </w:t>
      </w:r>
      <w:r>
        <w:t xml:space="preserve">not physical aloneness; §2.3). Attribute intensity sometimes softened — an extreme code such as</w:t>
      </w:r>
      <w:r>
        <w:t xml:space="preserve"> </w:t>
      </w:r>
      <w:r>
        <w:t xml:space="preserve">authority-deference 1 (</w:t>
      </w:r>
      <w:r>
        <w:t xml:space="preserve">“</w:t>
      </w:r>
      <w:r>
        <w:t xml:space="preserve">rarely defers</w:t>
      </w:r>
      <w:r>
        <w:t xml:space="preserve">”</w:t>
      </w:r>
      <w:r>
        <w:t xml:space="preserve">) occasionally read as a moderate</w:t>
      </w:r>
      <w:r>
        <w:t xml:space="preserve"> </w:t>
      </w:r>
      <w:r>
        <w:t xml:space="preserve">“</w:t>
      </w:r>
      <w:r>
        <w:t xml:space="preserve">tends not to</w:t>
      </w:r>
      <w:r>
        <w:t xml:space="preserve">”</w:t>
      </w:r>
      <w:r>
        <w:t xml:space="preserve"> </w:t>
      </w:r>
      <w:r>
        <w:t xml:space="preserve">— but never</w:t>
      </w:r>
      <w:r>
        <w:t xml:space="preserve"> </w:t>
      </w:r>
      <w:r>
        <w:t xml:space="preserve">flipped. Inter-rater reliability on the ordinal plausibility is substantial: quadratic-weighted Cohen’s kappa [10] = 0.63 (exact 78%, within-one-level 92%, mean absolute difference 0.30) — a kappa deflated by restriction of range, since both raters placed most personas at 4–5, so the 78% raw agreement is the fairer read, computed by</w:t>
      </w:r>
      <w:r>
        <w:t xml:space="preserve"> </w:t>
      </w:r>
      <w:r>
        <w:rPr>
          <w:rStyle w:val="VerbatimChar"/>
        </w:rPr>
        <w:t xml:space="preserve">src/face_validity_kappa.py</w:t>
      </w:r>
      <w:r>
        <w:t xml:space="preserve"> </w:t>
      </w:r>
      <w:r>
        <w:t xml:space="preserve">from the two released score sheets</w:t>
      </w:r>
      <w:r>
        <w:t xml:space="preserve"> </w:t>
      </w:r>
      <w:r>
        <w:t xml:space="preserve">(</w:t>
      </w:r>
      <w:r>
        <w:rPr>
          <w:rStyle w:val="VerbatimChar"/>
        </w:rPr>
        <w:t xml:space="preserve">results/face_validity_rater_A.xlsx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results/face_validity_rater_B.xlsx</w:t>
      </w:r>
      <w:r>
        <w:t xml:space="preserve">).</w:t>
      </w:r>
    </w:p>
    <w:p>
      <w:pPr>
        <w:pStyle w:val="Heading3"/>
      </w:pPr>
      <w:bookmarkStart w:id="35" w:name="inter-attribute-structure-figure-6"/>
      <w:r>
        <w:t xml:space="preserve">4.5 Inter-attribute structure (Figure 6)</w:t>
      </w:r>
      <w:bookmarkEnd w:id="35"/>
    </w:p>
    <w:p>
      <w:pPr>
        <w:pStyle w:val="FirstParagraph"/>
      </w:pPr>
      <w:r>
        <w:t xml:space="preserve">A reuser running a multi-attribute simulation needs to know what joint structure the dataset carries,</w:t>
      </w:r>
      <w:r>
        <w:t xml:space="preserve"> </w:t>
      </w:r>
      <w:r>
        <w:t xml:space="preserve">and how far to trust it. There is some structure, from two routes, and it is bounded. Figure 6 reports pairwise</w:t>
      </w:r>
      <w:r>
        <w:t xml:space="preserve"> </w:t>
      </w:r>
      <w:r>
        <w:t xml:space="preserve">correlations both marginally and within age band. Conditioning each survey-direct attribute on shared</w:t>
      </w:r>
      <w:r>
        <w:t xml:space="preserve"> </w:t>
      </w:r>
      <w:r>
        <w:t xml:space="preserve">demographics — age, plus sex and education where a survey records them on the same respondents — lifts</w:t>
      </w:r>
      <w:r>
        <w:t xml:space="preserve"> </w:t>
      </w:r>
      <w:r>
        <w:t xml:space="preserve">the within-age correlations off zero; the largest is financial vulnerability with digital literacy at</w:t>
      </w:r>
      <w:r>
        <w:t xml:space="preserve"> </w:t>
      </w:r>
      <w:r>
        <w:t xml:space="preserve">|r| ≈ 0.08, both tied to education. These stay small because the demographic channel only carries part</w:t>
      </w:r>
      <w:r>
        <w:t xml:space="preserve"> </w:t>
      </w:r>
      <w:r>
        <w:t xml:space="preserve">of the real covariance. One pair is sampled from a genuine observed joint rather than two independent marginals: victimization and reporting (KCVS, same respondents). The released pair matches that survey joint to within a per-cell total variation distance of 0.002 — but by construction, since it is drawn from it, so the number confirms faithful sampling, not that the survey’s joint transfers to any other population. Every other cross-survey pair rests on conditional independence given the demographic vector — an assumption we state plainly and have not verified.</w:t>
      </w:r>
    </w:p>
    <w:p>
      <w:pPr>
        <w:pStyle w:val="BodyText"/>
      </w:pPr>
      <w:r>
        <w:t xml:space="preserve">Two cautions bound the gain. The conditioning induces correlation but not a within-cell joint, so the</w:t>
      </w:r>
      <w:r>
        <w:t xml:space="preserve"> </w:t>
      </w:r>
      <w:r>
        <w:t xml:space="preserve">simultaneous-extreme combinations a tighter model would suppress fall only modestly — personas at once</w:t>
      </w:r>
      <w:r>
        <w:t xml:space="preserve"> </w:t>
      </w:r>
      <w:r>
        <w:t xml:space="preserve">maximally financially vulnerable and maximally digitally literate move from 4.81% to 4.72%. And</w:t>
      </w:r>
      <w:r>
        <w:t xml:space="preserve"> </w:t>
      </w:r>
      <w:r>
        <w:t xml:space="preserve">conditioning on real survey demographics also reproduces real demographic associations: authority</w:t>
      </w:r>
      <w:r>
        <w:t xml:space="preserve"> </w:t>
      </w:r>
      <w:r>
        <w:t xml:space="preserve">deference varies with sex in KGSS (residual Cramér V ≈ 0.15), which the stereotype audit (§4.3) flags</w:t>
      </w:r>
      <w:r>
        <w:t xml:space="preserve"> </w:t>
      </w:r>
      <w:r>
        <w:t xml:space="preserve">for the reuser to weigh — a measured relationship rather than one the pipeline introduced. We did</w:t>
      </w:r>
      <w:r>
        <w:t xml:space="preserve"> </w:t>
      </w:r>
      <w:r>
        <w:t xml:space="preserve">remove one that was introduced: an earlier financial-vulnerability-by-sex association traced to</w:t>
      </w:r>
      <w:r>
        <w:t xml:space="preserve"> </w:t>
      </w:r>
      <w:r>
        <w:t xml:space="preserve">household-head conditioning, which we cut by making that attribute sex-invariant. Whether these anchors</w:t>
      </w:r>
      <w:r>
        <w:t xml:space="preserve"> </w:t>
      </w:r>
      <w:r>
        <w:t xml:space="preserve">and this conditioning represent the Korean population well enough for a given use remains open to the</w:t>
      </w:r>
      <w:r>
        <w:t xml:space="preserve"> </w:t>
      </w:r>
      <w:r>
        <w:t xml:space="preserve">further, and likely adversarial, validation a dataset like this should invite. Audit code:</w:t>
      </w:r>
      <w:r>
        <w:t xml:space="preserve"> </w:t>
      </w:r>
      <w:r>
        <w:rPr>
          <w:rStyle w:val="VerbatimChar"/>
        </w:rPr>
        <w:t xml:space="preserve">src/audit_joint.py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src/audit_stereotype.py</w:t>
      </w:r>
      <w:r>
        <w:t xml:space="preserve">; table:</w:t>
      </w:r>
      <w:r>
        <w:t xml:space="preserve"> </w:t>
      </w:r>
      <w:r>
        <w:rPr>
          <w:rStyle w:val="VerbatimChar"/>
        </w:rPr>
        <w:t xml:space="preserve">results/joint_audit.csv</w:t>
      </w:r>
      <w:r>
        <w:t xml:space="preserve">.</w:t>
      </w:r>
    </w:p>
    <w:p>
      <w:pPr>
        <w:pStyle w:val="Heading3"/>
      </w:pPr>
      <w:bookmarkStart w:id="36" w:name="X62c04665fa91e359255606cf70d3ce020bb39e8"/>
      <w:r>
        <w:t xml:space="preserve">4.6 External validation of joint structure (Figure 7)</w:t>
      </w:r>
      <w:bookmarkEnd w:id="36"/>
    </w:p>
    <w:p>
      <w:pPr>
        <w:pStyle w:val="FirstParagraph"/>
      </w:pPr>
      <w:r>
        <w:t xml:space="preserve">The fidelity and round-trip checks above stay inside the construction: they confirm the sampler reproduces</w:t>
      </w:r>
      <w:r>
        <w:t xml:space="preserve"> </w:t>
      </w:r>
      <w:r>
        <w:t xml:space="preserve">its anchors and the narrative encodes the sampled value. Neither reaches the one thing a multi-attribute</w:t>
      </w:r>
      <w:r>
        <w:t xml:space="preserve"> </w:t>
      </w:r>
      <w:r>
        <w:t xml:space="preserve">reuser most needs and the anchors never observed — the joint across attributes drawn from different</w:t>
      </w:r>
      <w:r>
        <w:t xml:space="preserve"> </w:t>
      </w:r>
      <w:r>
        <w:t xml:space="preserve">surveys. We test it against a survey that was not an anchor and that measures three of the attributes on</w:t>
      </w:r>
      <w:r>
        <w:t xml:space="preserve"> </w:t>
      </w:r>
      <w:r>
        <w:t xml:space="preserve">the same elders: the 2023 National Survey of Older Koreans (노인실태조사 [8]; N = 10,078 aged 65+). Financial</w:t>
      </w:r>
      <w:r>
        <w:t xml:space="preserve"> </w:t>
      </w:r>
      <w:r>
        <w:t xml:space="preserve">vulnerability maps to its household-income quintile (inverted), digital literacy to a count of thirteen</w:t>
      </w:r>
      <w:r>
        <w:t xml:space="preserve"> </w:t>
      </w:r>
      <w:r>
        <w:t xml:space="preserve">device activities, and social isolation to the support-availability battery — people to turn to when</w:t>
      </w:r>
      <w:r>
        <w:t xml:space="preserve"> </w:t>
      </w:r>
      <w:r>
        <w:t xml:space="preserve">depressed, ill, or short of money — the same structural-support construct the KGSS anchor uses. The survey</w:t>
      </w:r>
      <w:r>
        <w:t xml:space="preserve"> </w:t>
      </w:r>
      <w:r>
        <w:t xml:space="preserve">shares no respondents and no instrument with the anchors, so for the joint the comparison is genuinely</w:t>
      </w:r>
      <w:r>
        <w:t xml:space="preserve"> </w:t>
      </w:r>
      <w:r>
        <w:t xml:space="preserve">out-of-sample.</w:t>
      </w:r>
    </w:p>
    <w:p>
      <w:pPr>
        <w:pStyle w:val="BodyText"/>
      </w:pPr>
      <w:r>
        <w:t xml:space="preserve">Two results follow. The inter-attribute joint comes first: the real attributes are positively dependent.</w:t>
      </w:r>
      <w:r>
        <w:t xml:space="preserve"> </w:t>
      </w:r>
      <w:r>
        <w:t xml:space="preserve">The share of elders who are at once high financial vulnerability, low digital literacy, and high social</w:t>
      </w:r>
      <w:r>
        <w:t xml:space="preserve"> </w:t>
      </w:r>
      <w:r>
        <w:t xml:space="preserve">isolation is 2.36 times what their marginals give under independence (95% bootstrap CI 2.20–2.55 [12]), and the</w:t>
      </w:r>
      <w:r>
        <w:t xml:space="preserve"> </w:t>
      </w:r>
      <w:r>
        <w:t xml:space="preserve">real pairwise associations (Cramér’s V: financial × digital 0.21, digital × isolation 0.13, financial ×</w:t>
      </w:r>
      <w:r>
        <w:t xml:space="preserve"> </w:t>
      </w:r>
      <w:r>
        <w:t xml:space="preserve">isolation 0.11) run two to six times the released dataset’s (0.07, 0.04, 0.02). The conditional-independence</w:t>
      </w:r>
      <w:r>
        <w:t xml:space="preserve"> </w:t>
      </w:r>
      <w:r>
        <w:t xml:space="preserve">structure the fusion rests on [13,14] under-states real compounding — a limitation §4.5 stated and we can now</w:t>
      </w:r>
      <w:r>
        <w:t xml:space="preserve"> </w:t>
      </w:r>
      <w:r>
        <w:t xml:space="preserve">quantify rather than assert. The marginals come second, and here recalibration has closed the gap that an</w:t>
      </w:r>
      <w:r>
        <w:t xml:space="preserve"> </w:t>
      </w:r>
      <w:r>
        <w:t xml:space="preserve">earlier version of this dataset carried. After re-deriving the elderly digital-literacy anchor from this</w:t>
      </w:r>
      <w:r>
        <w:t xml:space="preserve"> </w:t>
      </w:r>
      <w:r>
        <w:t xml:space="preserve">same survey’s activity instrument (§4.1, §2.3), the dataset places 35% of elders at low digital literacy</w:t>
      </w:r>
      <w:r>
        <w:t xml:space="preserve"> </w:t>
      </w:r>
      <w:r>
        <w:t xml:space="preserve">against the survey’s 37%; the high-financial-vulnerability (0.42 vs 0.40) and high-social-isolation (0.30 vs</w:t>
      </w:r>
      <w:r>
        <w:t xml:space="preserve"> </w:t>
      </w:r>
      <w:r>
        <w:t xml:space="preserve">0.14) shares bracket the real values. The simultaneous-extreme rate is 5.5% in the dataset against 4.8% in</w:t>
      </w:r>
      <w:r>
        <w:t xml:space="preserve"> </w:t>
      </w:r>
      <w:r>
        <w:t xml:space="preserve">the survey, within a percentage point of the real tail — it over-stated that tail twofold before the digital-</w:t>
      </w:r>
      <w:r>
        <w:t xml:space="preserve"> </w:t>
      </w:r>
      <w:r>
        <w:t xml:space="preserve">literacy recalibration.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Quantity (elderly 65+)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Real (노인실태조사 2023)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KVRB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High financial-vulnerability share</w:t>
            </w:r>
          </w:p>
        </w:tc>
        <w:tc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p>
            <w:pPr>
              <w:pStyle w:val="Compact"/>
              <w:jc w:val="left"/>
            </w:pPr>
            <w:r>
              <w:t xml:space="preserve">0.42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Low digital-literacy share</w:t>
            </w:r>
          </w:p>
        </w:tc>
        <w:tc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p>
            <w:pPr>
              <w:pStyle w:val="Compact"/>
              <w:jc w:val="left"/>
            </w:pPr>
            <w:r>
              <w:t xml:space="preserve">0.35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High social-isolation share</w:t>
            </w:r>
          </w:p>
        </w:tc>
        <w:tc>
          <w:p>
            <w:pPr>
              <w:pStyle w:val="Compact"/>
              <w:jc w:val="left"/>
            </w:pPr>
            <w:r>
              <w:t xml:space="preserve">0.14</w:t>
            </w:r>
          </w:p>
        </w:tc>
        <w:tc>
          <w:p>
            <w:pPr>
              <w:pStyle w:val="Compact"/>
              <w:jc w:val="left"/>
            </w:pPr>
            <w:r>
              <w:t xml:space="preserve">0.30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Simultaneous-extreme rate</w:t>
            </w:r>
          </w:p>
        </w:tc>
        <w:tc>
          <w:p>
            <w:pPr>
              <w:pStyle w:val="Compact"/>
              <w:jc w:val="left"/>
            </w:pPr>
            <w:r>
              <w:t xml:space="preserve">0.048</w:t>
            </w:r>
          </w:p>
        </w:tc>
        <w:tc>
          <w:p>
            <w:pPr>
              <w:pStyle w:val="Compact"/>
              <w:jc w:val="left"/>
            </w:pPr>
            <w:r>
              <w:t xml:space="preserve">0.055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Independence-implied rate</w:t>
            </w:r>
          </w:p>
        </w:tc>
        <w:tc>
          <w:p>
            <w:pPr>
              <w:pStyle w:val="Compact"/>
              <w:jc w:val="left"/>
            </w:pPr>
            <w:r>
              <w:t xml:space="preserve">0.021</w:t>
            </w:r>
          </w:p>
        </w:tc>
        <w:tc>
          <w:p>
            <w:pPr>
              <w:pStyle w:val="Compact"/>
              <w:jc w:val="left"/>
            </w:pPr>
            <w:r>
              <w:t xml:space="preserve">0.043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Dependence ratio (extreme ÷ independence)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2.36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1.29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Pairwise V (FV×SI / FV×DL / DL×SI)</w:t>
            </w:r>
          </w:p>
        </w:tc>
        <w:tc>
          <w:p>
            <w:pPr>
              <w:pStyle w:val="Compact"/>
              <w:jc w:val="left"/>
            </w:pPr>
            <w:r>
              <w:t xml:space="preserve">0.11 / 0.21 / 0.13</w:t>
            </w:r>
          </w:p>
        </w:tc>
        <w:tc>
          <w:p>
            <w:pPr>
              <w:pStyle w:val="Compact"/>
              <w:jc w:val="left"/>
            </w:pPr>
            <w:r>
              <w:t xml:space="preserve">0.02 / 0.07 / 0.04</w:t>
            </w:r>
          </w:p>
        </w:tc>
      </w:tr>
    </w:tbl>
    <w:p>
      <w:pPr>
        <w:pStyle w:val="BodyText"/>
      </w:pPr>
      <w:r>
        <w:t xml:space="preserve">The reading is that the dataset is a faithful sampler of its anchors (§4.1) whose single-attribute elderly</w:t>
      </w:r>
      <w:r>
        <w:t xml:space="preserve"> </w:t>
      </w:r>
      <w:r>
        <w:t xml:space="preserve">prevalences now match an independent same-respondent survey, while its realized joint stays partial and</w:t>
      </w:r>
      <w:r>
        <w:t xml:space="preserve"> </w:t>
      </w:r>
      <w:r>
        <w:t xml:space="preserve">conservative in dependence: a reuser building compound-vulnerability cohorts should treat the co-occurrence</w:t>
      </w:r>
      <w:r>
        <w:t xml:space="preserve"> </w:t>
      </w:r>
      <w:r>
        <w:t xml:space="preserve">of extremes as under-modelled — the real 2.36× dependence against the dataset’s 1.3× is the scale of that</w:t>
      </w:r>
      <w:r>
        <w:t xml:space="preserve"> </w:t>
      </w:r>
      <w:r>
        <w:t xml:space="preserve">under-capture — even though the marginals are calibrated.</w:t>
      </w:r>
    </w:p>
    <w:p>
      <w:pPr>
        <w:pStyle w:val="BodyText"/>
      </w:pPr>
      <w:r>
        <w:t xml:space="preserve">This external check is elderly-scoped (65+) because the only same-respondent multi-attribute Korean survey</w:t>
      </w:r>
      <w:r>
        <w:t xml:space="preserve"> </w:t>
      </w:r>
      <w:r>
        <w:t xml:space="preserve">available covers the elderly. We tested whether the non-elderly joint could be validated the same way and</w:t>
      </w:r>
      <w:r>
        <w:t xml:space="preserve"> </w:t>
      </w:r>
      <w:r>
        <w:t xml:space="preserve">found that it cannot: the KGSS administers the authority-deference battery (2016) and the social-isolation</w:t>
      </w:r>
      <w:r>
        <w:t xml:space="preserve"> </w:t>
      </w:r>
      <w:r>
        <w:t xml:space="preserve">support battery (2004, 2012) to disjoint respondents, so those attributes are never jointly observed and</w:t>
      </w:r>
      <w:r>
        <w:t xml:space="preserve"> </w:t>
      </w:r>
      <w:r>
        <w:t xml:space="preserve">their joint cannot be validated, only assumed — the defining condition of statistical matching [13,14]. For</w:t>
      </w:r>
      <w:r>
        <w:t xml:space="preserve"> </w:t>
      </w:r>
      <w:r>
        <w:t xml:space="preserve">the 19–64 core, then, one inter-attribute joint is observed rather than assumed (prior-victimization ×</w:t>
      </w:r>
      <w:r>
        <w:t xml:space="preserve"> </w:t>
      </w:r>
      <w:r>
        <w:t xml:space="preserve">reporting-propensity, from KCVS, §4.5); the remaining pairs rest on conditional independence and run near-zero</w:t>
      </w:r>
      <w:r>
        <w:t xml:space="preserve"> </w:t>
      </w:r>
      <w:r>
        <w:t xml:space="preserve">in the release by construction (Cramér’s V below 0.05 across pairs). Reusers should treat non-elderly</w:t>
      </w:r>
      <w:r>
        <w:t xml:space="preserve"> </w:t>
      </w:r>
      <w:r>
        <w:t xml:space="preserve">compound-vulnerability cohorts as lower bounds on real co-occurrence, with the elderly 2.36× as the best</w:t>
      </w:r>
      <w:r>
        <w:t xml:space="preserve"> </w:t>
      </w:r>
      <w:r>
        <w:t xml:space="preserve">available indication of the direction and scale of the under-capture. Code:</w:t>
      </w:r>
      <w:r>
        <w:t xml:space="preserve"> </w:t>
      </w:r>
      <w:r>
        <w:rPr>
          <w:rStyle w:val="VerbatimChar"/>
        </w:rPr>
        <w:t xml:space="preserve">src/validate_joint_external_noin2023.py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src/validate_nonelderly_joint.py</w:t>
      </w:r>
      <w:r>
        <w:t xml:space="preserve">; tables</w:t>
      </w:r>
      <w:r>
        <w:t xml:space="preserve"> </w:t>
      </w:r>
      <w:r>
        <w:rPr>
          <w:rStyle w:val="VerbatimChar"/>
        </w:rPr>
        <w:t xml:space="preserve">results/joint_external_noin2023.csv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results/nonelderly_joint_bound.txt</w:t>
      </w:r>
      <w:r>
        <w:t xml:space="preserve">.</w:t>
      </w:r>
    </w:p>
    <w:p>
      <w:pPr>
        <w:pStyle w:val="Heading2"/>
      </w:pPr>
      <w:bookmarkStart w:id="37" w:name="usage-notes"/>
      <w:r>
        <w:t xml:space="preserve">5. Usage Notes</w:t>
      </w:r>
      <w:bookmarkEnd w:id="37"/>
    </w:p>
    <w:p>
      <w:pPr>
        <w:pStyle w:val="FirstParagraph"/>
      </w:pPr>
      <w:r>
        <w:rPr>
          <w:b/>
        </w:rPr>
        <w:t xml:space="preserve">Caveat for compound-risk use.</w:t>
      </w:r>
      <w:r>
        <w:t xml:space="preserve"> </w:t>
      </w:r>
      <w:r>
        <w:t xml:space="preserve">The inter-attribute joint under-states the real co-occurrence of vulnerabilities (elderly dependence 2.36× real against 1.29× in the release; §4.6). Cohorts defined by</w:t>
      </w:r>
      <w:r>
        <w:t xml:space="preserve"> </w:t>
      </w:r>
      <w:r>
        <w:rPr>
          <w:i/>
        </w:rPr>
        <w:t xml:space="preserve">several</w:t>
      </w:r>
      <w:r>
        <w:t xml:space="preserve"> </w:t>
      </w:r>
      <w:r>
        <w:t xml:space="preserve">simultaneous extremes — for example high financial vulnerability and high social isolation together — are therefore lower bounds. Do not size or target real interventions on a released compound rate without applying the §4.6 under-capture factor; the marginals are calibrated, the joint tail is conservative.</w:t>
      </w:r>
    </w:p>
    <w:p>
      <w:pPr>
        <w:pStyle w:val="Heading3"/>
      </w:pPr>
      <w:bookmarkStart w:id="38" w:name="Xcd1207b4aebecd491b8c58d93fc1dbd08cc9099"/>
      <w:r>
        <w:t xml:space="preserve">5.1 Demonstration — elderly voice-phishing cohort (Figure 4)</w:t>
      </w:r>
      <w:bookmarkEnd w:id="38"/>
    </w:p>
    <w:p>
      <w:pPr>
        <w:pStyle w:val="FirstParagraph"/>
      </w:pPr>
      <w:r>
        <w:t xml:space="preserve">Selecting the cohort prevention work targets (age ≥ 65, single-person household, lower education)</w:t>
      </w:r>
      <w:r>
        <w:t xml:space="preserve"> </w:t>
      </w:r>
      <w:r>
        <w:t xml:space="preserve">returns 44,362 personas, 4.4% of the million. The cohort separates from the population on the dimensions</w:t>
      </w:r>
      <w:r>
        <w:t xml:space="preserve"> </w:t>
      </w:r>
      <w:r>
        <w:t xml:space="preserve">voice-phishing exploits — low digital literacy 0.43 versus 0.24 (×1.8) and high authority deference 0.61</w:t>
      </w:r>
      <w:r>
        <w:t xml:space="preserve"> </w:t>
      </w:r>
      <w:r>
        <w:t xml:space="preserve">versus 0.41 (×1.5) — while financial vulnerability and social isolation stay flat (×1.0 each); isolation</w:t>
      </w:r>
      <w:r>
        <w:t xml:space="preserve"> </w:t>
      </w:r>
      <w:r>
        <w:t xml:space="preserve">because its defining axis here, single-person household, is not one of its anchor conditioners (§2.3). The</w:t>
      </w:r>
      <w:r>
        <w:t xml:space="preserve"> </w:t>
      </w:r>
      <w:r>
        <w:t xml:space="preserve">attribute draw runs through age, sex, and education, so selecting on occupation, region, or household type</w:t>
      </w:r>
      <w:r>
        <w:t xml:space="preserve"> </w:t>
      </w:r>
      <w:r>
        <w:t xml:space="preserve">does not shift the attribute profile. This is a query demonstration, not a targeting recommendation: it</w:t>
      </w:r>
      <w:r>
        <w:t xml:space="preserve"> </w:t>
      </w:r>
      <w:r>
        <w:t xml:space="preserve">builds a high-</w:t>
      </w:r>
      <w:r>
        <w:rPr>
          <w:i/>
        </w:rPr>
        <w:t xml:space="preserve">susceptibility</w:t>
      </w:r>
      <w:r>
        <w:t xml:space="preserve"> </w:t>
      </w:r>
      <w:r>
        <w:t xml:space="preserve">cohort, which is not the same as a high realized-</w:t>
      </w:r>
      <w:r>
        <w:rPr>
          <w:i/>
        </w:rPr>
        <w:t xml:space="preserve">loss</w:t>
      </w:r>
      <w:r>
        <w:t xml:space="preserve"> </w:t>
      </w:r>
      <w:r>
        <w:t xml:space="preserve">cohort.</w:t>
      </w:r>
    </w:p>
    <w:p>
      <w:pPr>
        <w:pStyle w:val="BodyText"/>
      </w:pPr>
      <w:r>
        <w:t xml:space="preserve">A second query on the same external survey shows why the distinction matters. Among the 10,078 elders,</w:t>
      </w:r>
      <w:r>
        <w:t xml:space="preserve"> </w:t>
      </w:r>
      <w:r>
        <w:t xml:space="preserve">voice-phishing financial loss rises with digital engagement (smartphone users 1.75% versus non-users 0.34%;</w:t>
      </w:r>
      <w:r>
        <w:t xml:space="preserve"> </w:t>
      </w:r>
      <w:r>
        <w:t xml:space="preserve">odds ratio 3.0), not with digital exclusion — realized loss tracks exposure, the opposite of the</w:t>
      </w:r>
      <w:r>
        <w:t xml:space="preserve"> </w:t>
      </w:r>
      <w:r>
        <w:t xml:space="preserve">susceptibility a low-digital-literacy cohort captures. The full income × engagement × loss analysis is</w:t>
      </w:r>
      <w:r>
        <w:t xml:space="preserve"> </w:t>
      </w:r>
      <w:r>
        <w:t xml:space="preserve">developed separately (in preparation).</w:t>
      </w:r>
    </w:p>
    <w:p>
      <w:pPr>
        <w:pStyle w:val="Heading3"/>
      </w:pPr>
      <w:bookmarkStart w:id="39" w:name="other-uses"/>
      <w:r>
        <w:t xml:space="preserve">5.2 Other uses</w:t>
      </w:r>
      <w:bookmarkEnd w:id="39"/>
    </w:p>
    <w:p>
      <w:pPr>
        <w:pStyle w:val="FirstParagraph"/>
      </w:pPr>
      <w:r>
        <w:t xml:space="preserve">The first-person narrative layer is the interface that lets a persona enter an LLM-agent context directly:</w:t>
      </w:r>
      <w:r>
        <w:t xml:space="preserve"> </w:t>
      </w:r>
      <w:r>
        <w:t xml:space="preserve">GABM/agent-based simulation, prevention-message A/B testing, and officer-training victim interviews consume</w:t>
      </w:r>
      <w:r>
        <w:t xml:space="preserve"> </w:t>
      </w:r>
      <w:r>
        <w:t xml:space="preserve">the narrative, not the structured row, so the narrative is what makes the structured attributes usable as</w:t>
      </w:r>
      <w:r>
        <w:t xml:space="preserve"> </w:t>
      </w:r>
      <w:r>
        <w:t xml:space="preserve">agents rather than as a table. The shared persona pool also serves as a robustness substrate for related tracks.</w:t>
      </w:r>
    </w:p>
    <w:p>
      <w:pPr>
        <w:pStyle w:val="Heading3"/>
      </w:pPr>
      <w:bookmarkStart w:id="40" w:name="limitations"/>
      <w:r>
        <w:t xml:space="preserve">5.3 Limitations</w:t>
      </w:r>
      <w:bookmarkEnd w:id="40"/>
    </w:p>
    <w:p>
      <w:pPr>
        <w:pStyle w:val="FirstParagraph"/>
      </w:pPr>
      <w:r>
        <w:t xml:space="preserve">Personas are synthetic; behavioral attributes are proxies, not measured traits. Conditioning uses</w:t>
      </w:r>
      <w:r>
        <w:t xml:space="preserve"> </w:t>
      </w:r>
      <w:r>
        <w:t xml:space="preserve">age, sex, and education but not every relevant variable — family type, for one, is not a conditioner —</w:t>
      </w:r>
      <w:r>
        <w:t xml:space="preserve"> </w:t>
      </w:r>
      <w:r>
        <w:t xml:space="preserve">so an attribute and a non-conditioned selection variable can still move independently: a</w:t>
      </w:r>
      <w:r>
        <w:t xml:space="preserve"> </w:t>
      </w:r>
      <w:r>
        <w:t xml:space="preserve">family-cohabiting persona can draw maximum structural isolation.</w:t>
      </w:r>
      <w:r>
        <w:t xml:space="preserve"> </w:t>
      </w:r>
      <w:r>
        <w:t xml:space="preserve">Narrative realization also produces occasional life-course timing that does not cohere with the</w:t>
      </w:r>
      <w:r>
        <w:t xml:space="preserve"> </w:t>
      </w:r>
      <w:r>
        <w:t xml:space="preserve">sampled demographics — a 20-year-old already holding a college degree and a job — which both</w:t>
      </w:r>
      <w:r>
        <w:t xml:space="preserve"> </w:t>
      </w:r>
      <w:r>
        <w:t xml:space="preserve">face-validity raters independently flagged (§4.4). The release carries a boolean</w:t>
      </w:r>
      <w:r>
        <w:t xml:space="preserve"> </w:t>
      </w:r>
      <w:r>
        <w:rPr>
          <w:rStyle w:val="VerbatimChar"/>
        </w:rPr>
        <w:t xml:space="preserve">life_course_valid</w:t>
      </w:r>
      <w:r>
        <w:t xml:space="preserve"> </w:t>
      </w:r>
      <w:r>
        <w:t xml:space="preserve">(117</w:t>
      </w:r>
      <w:r>
        <w:t xml:space="preserve"> </w:t>
      </w:r>
      <w:r>
        <w:t xml:space="preserve">records, 0.01%, flagged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where the backbone education level is chronologically impossible for the</w:t>
      </w:r>
      <w:r>
        <w:t xml:space="preserve"> </w:t>
      </w:r>
      <w:r>
        <w:t xml:space="preserve">age); exclude them with</w:t>
      </w:r>
      <w:r>
        <w:t xml:space="preserve"> </w:t>
      </w:r>
      <w:r>
        <w:rPr>
          <w:rStyle w:val="VerbatimChar"/>
        </w:rPr>
        <w:t xml:space="preserve">df = df[df.life_course_valid]</w:t>
      </w:r>
      <w:r>
        <w:t xml:space="preserve"> </w:t>
      </w:r>
      <w:r>
        <w:t xml:space="preserve">in pandas or</w:t>
      </w:r>
      <w:r>
        <w:t xml:space="preserve"> </w:t>
      </w:r>
      <w:r>
        <w:rPr>
          <w:rStyle w:val="VerbatimChar"/>
        </w:rPr>
        <w:t xml:space="preserve">WHERE life_course_valid</w:t>
      </w:r>
      <w:r>
        <w:t xml:space="preserve"> </w:t>
      </w:r>
      <w:r>
        <w:t xml:space="preserve">in SQL. This</w:t>
      </w:r>
      <w:r>
        <w:t xml:space="preserve"> </w:t>
      </w:r>
      <w:r>
        <w:t xml:space="preserve">deterministic</w:t>
      </w:r>
      <w:r>
        <w:t xml:space="preserve"> </w:t>
      </w:r>
      <w:r>
        <w:rPr>
          <w:rStyle w:val="VerbatimChar"/>
        </w:rPr>
        <w:t xml:space="preserve">life_course_valid</w:t>
      </w:r>
      <w:r>
        <w:t xml:space="preserve"> </w:t>
      </w:r>
      <w:r>
        <w:t xml:space="preserve">flag that marks records whose education level is chronologically impossible for the persona’s age, so</w:t>
      </w:r>
      <w:r>
        <w:t xml:space="preserve"> </w:t>
      </w:r>
      <w:r>
        <w:t xml:space="preserve">reusers can filter them; because these originate in the demographic backbone rather than the behavioral</w:t>
      </w:r>
      <w:r>
        <w:t xml:space="preserve"> </w:t>
      </w:r>
      <w:r>
        <w:t xml:space="preserve">layer, we flag rather than delete them, preserving the backbone’s calibration. Inter-attribute</w:t>
      </w:r>
      <w:r>
        <w:t xml:space="preserve"> </w:t>
      </w:r>
      <w:r>
        <w:t xml:space="preserve">structure is partial and runs mainly through shared demographics: conditioning induces only modest</w:t>
      </w:r>
      <w:r>
        <w:t xml:space="preserve"> </w:t>
      </w:r>
      <w:r>
        <w:t xml:space="preserve">within-age correlation (§4.5), one pair (victimization–reporting) comes from an observed joint, and most</w:t>
      </w:r>
      <w:r>
        <w:t xml:space="preserve"> </w:t>
      </w:r>
      <w:r>
        <w:t xml:space="preserve">cross-survey correlations among vulnerabilities — financial strain and isolation, say — are not directly</w:t>
      </w:r>
      <w:r>
        <w:t xml:space="preserve"> </w:t>
      </w:r>
      <w:r>
        <w:t xml:space="preserve">modeled but rest on stated conditional independence, so simulation users needing fuller covariance should</w:t>
      </w:r>
      <w:r>
        <w:t xml:space="preserve"> </w:t>
      </w:r>
      <w:r>
        <w:t xml:space="preserve">add it and validate against their own target. The</w:t>
      </w:r>
      <w:r>
        <w:t xml:space="preserve"> </w:t>
      </w:r>
      <w:r>
        <w:rPr>
          <w:rStyle w:val="VerbatimChar"/>
        </w:rPr>
        <w:t xml:space="preserve">reporting_propensity</w:t>
      </w:r>
      <w:r>
        <w:t xml:space="preserve"> </w:t>
      </w:r>
      <w:r>
        <w:t xml:space="preserve">75+ cell is low-N.</w:t>
      </w:r>
      <w:r>
        <w:t xml:space="preserve"> </w:t>
      </w:r>
      <w:r>
        <w:rPr>
          <w:rStyle w:val="VerbatimChar"/>
        </w:rPr>
        <w:t xml:space="preserve">scam_susceptibility</w:t>
      </w:r>
      <w:r>
        <w:t xml:space="preserve"> </w:t>
      </w:r>
      <w:r>
        <w:t xml:space="preserve">is Tier-3 qualitative-only and excluded from quantitative</w:t>
      </w:r>
      <w:r>
        <w:t xml:space="preserve"> </w:t>
      </w:r>
      <w:r>
        <w:t xml:space="preserve">claims. Two limits remain quantified rather than asserted. First, the cross-survey conditional-independence</w:t>
      </w:r>
      <w:r>
        <w:t xml:space="preserve"> </w:t>
      </w:r>
      <w:r>
        <w:t xml:space="preserve">assumption under-states the elderly compound-vulnerability tail by about 2.4× (§4.6); for the non-elderly</w:t>
      </w:r>
      <w:r>
        <w:t xml:space="preserve"> </w:t>
      </w:r>
      <w:r>
        <w:t xml:space="preserve">core this under-capture cannot be measured directly, because no Korean survey observes these attributes on</w:t>
      </w:r>
      <w:r>
        <w:t xml:space="preserve"> </w:t>
      </w:r>
      <w:r>
        <w:t xml:space="preserve">the same working-age respondents — the KGSS administers the authority-deference and social-isolation</w:t>
      </w:r>
      <w:r>
        <w:t xml:space="preserve"> </w:t>
      </w:r>
      <w:r>
        <w:t xml:space="preserve">batteries to disjoint waves (§4.6) — so non-elderly multi-attribute extremes should be read as lower bounds.</w:t>
      </w:r>
      <w:r>
        <w:t xml:space="preserve"> </w:t>
      </w:r>
      <w:r>
        <w:t xml:space="preserve">Second, the elderly digital-literacy marginal, previously implausibly pessimistic against a same-respondent</w:t>
      </w:r>
      <w:r>
        <w:t xml:space="preserve"> </w:t>
      </w:r>
      <w:r>
        <w:t xml:space="preserve">survey, has been recalibrated to that survey’s activity instrument (35% low against 37%; §2.3, §4.6); it now</w:t>
      </w:r>
      <w:r>
        <w:t xml:space="preserve"> </w:t>
      </w:r>
      <w:r>
        <w:t xml:space="preserve">carries a population prevalence rather than a within-cohort ordinal only. The non-elderly digital-literacy</w:t>
      </w:r>
      <w:r>
        <w:t xml:space="preserve"> </w:t>
      </w:r>
      <w:r>
        <w:t xml:space="preserve">marginal still reflects the NIA competency instrument and should be read on that construct. Results should be replicated on</w:t>
      </w:r>
      <w:r>
        <w:t xml:space="preserve"> </w:t>
      </w:r>
      <w:r>
        <w:t xml:space="preserve">real population data before any operational use.</w:t>
      </w:r>
    </w:p>
    <w:p>
      <w:pPr>
        <w:pStyle w:val="Heading3"/>
      </w:pPr>
      <w:bookmarkStart w:id="41" w:name="ethics-dual-use"/>
      <w:r>
        <w:t xml:space="preserve">5.4 Ethics &amp; dual-use</w:t>
      </w:r>
      <w:bookmarkEnd w:id="41"/>
    </w:p>
    <w:p>
      <w:pPr>
        <w:pStyle w:val="FirstParagraph"/>
      </w:pPr>
      <w:r>
        <w:t xml:space="preserve">No record corresponds to a real person. Every persona is synthetic, carries no personally identifying</w:t>
      </w:r>
      <w:r>
        <w:t xml:space="preserve"> </w:t>
      </w:r>
      <w:r>
        <w:t xml:space="preserve">information, and cannot be traced to an individual; the attribute layer is sampled from aggregate</w:t>
      </w:r>
      <w:r>
        <w:t xml:space="preserve"> </w:t>
      </w:r>
      <w:r>
        <w:t xml:space="preserve">survey distributions, never from microdata about a person. Coverage stops at adults — ages 19 to 99 —</w:t>
      </w:r>
      <w:r>
        <w:t xml:space="preserve"> </w:t>
      </w:r>
      <w:r>
        <w:t xml:space="preserve">so no minor is represented; the backbone fixes every age at 19 or above, and the face-validity screen</w:t>
      </w:r>
      <w:r>
        <w:t xml:space="preserve"> </w:t>
      </w:r>
      <w:r>
        <w:t xml:space="preserve">(§4.4) checks that the narrative does not misstate it.</w:t>
      </w:r>
    </w:p>
    <w:p>
      <w:pPr>
        <w:pStyle w:val="BodyText"/>
      </w:pPr>
      <w:r>
        <w:t xml:space="preserve">The attributes exist to direct protection, not to describe individuals. A cohort names a population</w:t>
      </w:r>
      <w:r>
        <w:t xml:space="preserve"> </w:t>
      </w:r>
      <w:r>
        <w:t xml:space="preserve">segment a prevention program might prioritize, such as isolated older adults with low digital literacy;</w:t>
      </w:r>
      <w:r>
        <w:t xml:space="preserve"> </w:t>
      </w:r>
      <w:r>
        <w:t xml:space="preserve">it is not a list of people and must not be used as one. Targeting real individuals, offender profiling,</w:t>
      </w:r>
      <w:r>
        <w:t xml:space="preserve"> </w:t>
      </w:r>
      <w:r>
        <w:t xml:space="preserve">and presenting synthetic personas as real victims are out of scope and prohibited.</w:t>
      </w:r>
    </w:p>
    <w:p>
      <w:pPr>
        <w:pStyle w:val="BodyText"/>
      </w:pPr>
      <w:r>
        <w:t xml:space="preserve">A profile built to direct prevention could also point an offender toward softer targets. The release</w:t>
      </w:r>
      <w:r>
        <w:t xml:space="preserve"> </w:t>
      </w:r>
      <w:r>
        <w:t xml:space="preserve">limits that exposure in ways that do not depend on withholding the method. No record corresponds to a real</w:t>
      </w:r>
      <w:r>
        <w:t xml:space="preserve"> </w:t>
      </w:r>
      <w:r>
        <w:t xml:space="preserve">person, so there is no individual to re-identify; the protection differential privacy gives survey microdata</w:t>
      </w:r>
      <w:r>
        <w:t xml:space="preserve"> </w:t>
      </w:r>
      <w:r>
        <w:t xml:space="preserve">is not the relevant control for a fully synthetic population. The demographic intersections the dataset</w:t>
      </w:r>
      <w:r>
        <w:t xml:space="preserve"> </w:t>
      </w:r>
      <w:r>
        <w:t xml:space="preserve">exposes (for example, low-digital-literacy high-authority-deference elders) already appear as marginals in</w:t>
      </w:r>
      <w:r>
        <w:t xml:space="preserve"> </w:t>
      </w:r>
      <w:r>
        <w:t xml:space="preserve">the official statistics it is built from, so what is released is population-level structure that is already</w:t>
      </w:r>
      <w:r>
        <w:t xml:space="preserve"> </w:t>
      </w:r>
      <w:r>
        <w:t xml:space="preserve">public, not individual targeting information. The one attribute that would turn vulnerability description into</w:t>
      </w:r>
      <w:r>
        <w:t xml:space="preserve"> </w:t>
      </w:r>
      <w:r>
        <w:t xml:space="preserve">operational targeting, scam_susceptibility, has no survey anchor and stays Tier-3 qualitative-only, out of</w:t>
      </w:r>
      <w:r>
        <w:t xml:space="preserve"> </w:t>
      </w:r>
      <w:r>
        <w:t xml:space="preserve">the quantitative release. Published anchors are aggregate conditional tables; the underlying survey</w:t>
      </w:r>
      <w:r>
        <w:t xml:space="preserve"> </w:t>
      </w:r>
      <w:r>
        <w:t xml:space="preserve">microdata is not.</w:t>
      </w:r>
    </w:p>
    <w:p>
      <w:pPr>
        <w:pStyle w:val="BodyText"/>
      </w:pPr>
      <w:r>
        <w:t xml:space="preserve">Two anchor sources carry use restrictions that the release honors. The NIA digital-divide survey is</w:t>
      </w:r>
      <w:r>
        <w:t xml:space="preserve"> </w:t>
      </w:r>
      <w:r>
        <w:t xml:space="preserve">classified 제2유형 (non-commercial) and the KCVS is 제4유형 (non-commercial, no-derivatives). For both,</w:t>
      </w:r>
      <w:r>
        <w:t xml:space="preserve"> </w:t>
      </w:r>
      <w:r>
        <w:t xml:space="preserve">only aggregate conditional probabilities appear in the anchor tables, with source attribution, and the</w:t>
      </w:r>
      <w:r>
        <w:t xml:space="preserve"> </w:t>
      </w:r>
      <w:r>
        <w:t xml:space="preserve">raw microdata is not redistributed. Full statements are in ETHICS.md and LICENSE-DATA.md.</w:t>
      </w:r>
    </w:p>
    <w:p>
      <w:pPr>
        <w:pStyle w:val="Heading2"/>
      </w:pPr>
      <w:bookmarkStart w:id="42" w:name="code-data-availability"/>
      <w:r>
        <w:t xml:space="preserve">6. Code &amp; Data Availability</w:t>
      </w:r>
      <w:bookmarkEnd w:id="42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Code:</w:t>
      </w:r>
      <w:r>
        <w:t xml:space="preserve"> </w:t>
      </w:r>
      <w:r>
        <w:t xml:space="preserve">MIT, https://github.com/kncop0526-star/korea-victimization-risk-benchmark (release v1.0).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Derived data &amp; docs:</w:t>
      </w:r>
      <w:r>
        <w:t xml:space="preserve"> </w:t>
      </w:r>
      <w:r>
        <w:t xml:space="preserve">CC-BY-4.0; archived at Zenodo, DOI 10.5281/zenodo.20484546.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Backbone:</w:t>
      </w:r>
      <w:r>
        <w:t xml:space="preserve"> </w:t>
      </w:r>
      <w:r>
        <w:t xml:space="preserve">NVIDIA Nemotron-Personas-Korea (release 2026-04-20, revision</w:t>
      </w:r>
      <w:r>
        <w:t xml:space="preserve"> </w:t>
      </w:r>
      <w:r>
        <w:t xml:space="preserve">d0a9272116a2ebf139b964ca72b8b8f604616689), CC-BY-4.0; reproduce from this pinned upstream revision; not redistributed here.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Citation:</w:t>
      </w:r>
      <w:r>
        <w:t xml:space="preserve"> </w:t>
      </w:r>
      <w:r>
        <w:t xml:space="preserve">Lee, Chihwa (ORCID 0009-0009-6959-1797); see CITATION.cff.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references"/>
      <w:r>
        <w:t xml:space="preserve">References</w:t>
      </w:r>
      <w:bookmarkEnd w:id="43"/>
    </w:p>
    <w:p>
      <w:pPr>
        <w:numPr>
          <w:ilvl w:val="0"/>
          <w:numId w:val="1003"/>
        </w:numPr>
        <w:pStyle w:val="Compact"/>
      </w:pPr>
      <w:r>
        <w:t xml:space="preserve">NVIDIA. (2026). Nemotron-Personas-Korea [Data set]. Hugging Face. Released 2026-04-20.</w:t>
      </w:r>
    </w:p>
    <w:p>
      <w:pPr>
        <w:numPr>
          <w:ilvl w:val="0"/>
          <w:numId w:val="1003"/>
        </w:numPr>
        <w:pStyle w:val="Compact"/>
      </w:pPr>
      <w:r>
        <w:t xml:space="preserve">Statistics Korea. (2021). 2020 Population and Housing Census. Korean Statistical Information Service (KOSIS).</w:t>
      </w:r>
    </w:p>
    <w:p>
      <w:pPr>
        <w:numPr>
          <w:ilvl w:val="0"/>
          <w:numId w:val="1003"/>
        </w:numPr>
        <w:pStyle w:val="Compact"/>
      </w:pPr>
      <w:r>
        <w:t xml:space="preserve">Statistics Korea. (2024). Survey of Household Finances and Living Conditions (가계금융복지조사).</w:t>
      </w:r>
    </w:p>
    <w:p>
      <w:pPr>
        <w:numPr>
          <w:ilvl w:val="0"/>
          <w:numId w:val="1003"/>
        </w:numPr>
        <w:pStyle w:val="Compact"/>
      </w:pPr>
      <w:r>
        <w:t xml:space="preserve">National Information Society Agency. (2024). The Report on the Digital Divide (디지털정보격차 실태조사). Ministry of Science and ICT.</w:t>
      </w:r>
    </w:p>
    <w:p>
      <w:pPr>
        <w:numPr>
          <w:ilvl w:val="0"/>
          <w:numId w:val="1003"/>
        </w:numPr>
        <w:pStyle w:val="Compact"/>
      </w:pPr>
      <w:r>
        <w:t xml:space="preserve">Korean General Social Survey (KGSS). Survey Research Center, Sungkyunkwan University (AUTHORT module 2016; social-support battery 2004, 2012).</w:t>
      </w:r>
    </w:p>
    <w:p>
      <w:pPr>
        <w:numPr>
          <w:ilvl w:val="0"/>
          <w:numId w:val="1003"/>
        </w:numPr>
        <w:pStyle w:val="Compact"/>
      </w:pPr>
      <w:r>
        <w:t xml:space="preserve">Korean Crime Victim Survey (KCVS) 2018. Korean Institute of Criminology and Justice.</w:t>
      </w:r>
    </w:p>
    <w:p>
      <w:pPr>
        <w:numPr>
          <w:ilvl w:val="0"/>
          <w:numId w:val="1003"/>
        </w:numPr>
        <w:pStyle w:val="Compact"/>
      </w:pPr>
      <w:r>
        <w:t xml:space="preserve">National Information Society Agency. Survey on Internet Use (인터넷이용실태조사). Ministry of Science and ICT.</w:t>
      </w:r>
    </w:p>
    <w:p>
      <w:pPr>
        <w:numPr>
          <w:ilvl w:val="0"/>
          <w:numId w:val="1003"/>
        </w:numPr>
        <w:pStyle w:val="Compact"/>
      </w:pPr>
      <w:r>
        <w:t xml:space="preserve">Korea Institute for Health and Social Affairs. (2023). National Survey of Older Koreans (노인실태조사). Ministry of Health and Welfare.</w:t>
      </w:r>
    </w:p>
    <w:p>
      <w:pPr>
        <w:numPr>
          <w:ilvl w:val="0"/>
          <w:numId w:val="1003"/>
        </w:numPr>
        <w:pStyle w:val="Compact"/>
      </w:pPr>
      <w:r>
        <w:t xml:space="preserve">Cramér, H. (1946). Mathematical Methods of Statistics. Princeton University Press.</w:t>
      </w:r>
    </w:p>
    <w:p>
      <w:pPr>
        <w:numPr>
          <w:ilvl w:val="0"/>
          <w:numId w:val="1003"/>
        </w:numPr>
        <w:pStyle w:val="Compact"/>
      </w:pPr>
      <w:r>
        <w:t xml:space="preserve">Cohen, J. (1960). A coefficient of agreement for nominal scales. Educational and Psychological Measurement, 20(1), 37–46.</w:t>
      </w:r>
    </w:p>
    <w:p>
      <w:pPr>
        <w:numPr>
          <w:ilvl w:val="0"/>
          <w:numId w:val="1003"/>
        </w:numPr>
        <w:pStyle w:val="Compact"/>
      </w:pPr>
      <w:r>
        <w:t xml:space="preserve">Landis, J. R., &amp; Koch, G. G. (1977). The measurement of observer agreement for categorical data. Biometrics, 33(1), 159–174.</w:t>
      </w:r>
    </w:p>
    <w:p>
      <w:pPr>
        <w:numPr>
          <w:ilvl w:val="0"/>
          <w:numId w:val="1003"/>
        </w:numPr>
        <w:pStyle w:val="Compact"/>
      </w:pPr>
      <w:r>
        <w:t xml:space="preserve">Efron, B. (1979). Bootstrap methods: Another look at the jackknife. The Annals of Statistics, 7(1), 1–26.</w:t>
      </w:r>
    </w:p>
    <w:p>
      <w:pPr>
        <w:numPr>
          <w:ilvl w:val="0"/>
          <w:numId w:val="1003"/>
        </w:numPr>
        <w:pStyle w:val="Compact"/>
      </w:pPr>
      <w:r>
        <w:t xml:space="preserve">D’Orazio, M., Di Zio, M., &amp; Scanu, M. (2006). Statistical Matching: Theory and Practice. Wiley.</w:t>
      </w:r>
    </w:p>
    <w:p>
      <w:pPr>
        <w:numPr>
          <w:ilvl w:val="0"/>
          <w:numId w:val="1003"/>
        </w:numPr>
        <w:pStyle w:val="Compact"/>
      </w:pPr>
      <w:r>
        <w:t xml:space="preserve">Rässler, S. (2002). Statistical Matching: A Frequentist Theory, Practical Applications, and Alternative Bayesian Approaches. Springer.</w:t>
      </w:r>
    </w:p>
    <w:p>
      <w:pPr>
        <w:pStyle w:val="FirstParagraph"/>
      </w:pPr>
      <w:r>
        <w:t xml:space="preserve">(Survey years are those cited in §2.3; DOIs/URLs and access dates to be finalized at journal formatting.)</w:t>
      </w:r>
    </w:p>
    <w:p>
      <w:pPr>
        <w:pStyle w:val="Heading2"/>
      </w:pPr>
      <w:bookmarkStart w:id="44" w:name="appendix-a.-generation-prompt-and-model"/>
      <w:r>
        <w:t xml:space="preserve">Appendix A. Generation prompt and model</w:t>
      </w:r>
      <w:bookmarkEnd w:id="44"/>
    </w:p>
    <w:p>
      <w:pPr>
        <w:pStyle w:val="FirstParagraph"/>
      </w:pPr>
      <w:r>
        <w:t xml:space="preserve">Stage-2 narrative realization used the verbatim Korean prompt below, with the persona’s demographics</w:t>
      </w:r>
      <w:r>
        <w:t xml:space="preserve"> </w:t>
      </w:r>
      <w:r>
        <w:t xml:space="preserve">and fixed attribute levels interpolated. The instruction states the levels are fixed inputs to express,</w:t>
      </w:r>
      <w:r>
        <w:t xml:space="preserve"> </w:t>
      </w:r>
      <w:r>
        <w:t xml:space="preserve">not to estimate.</w:t>
      </w:r>
    </w:p>
    <w:p>
      <w:pPr>
        <w:pStyle w:val="SourceCode"/>
      </w:pPr>
      <w:r>
        <w:rPr>
          <w:rStyle w:val="VerbatimChar"/>
        </w:rPr>
        <w:t xml:space="preserve">다음은 합성 페르소나의 인구통계와, 실제 조사 분포에서 '이미 정해진' 속성값(1~5)이다.</w:t>
      </w:r>
      <w:r>
        <w:br/>
      </w:r>
      <w:r>
        <w:rPr>
          <w:rStyle w:val="VerbatimChar"/>
        </w:rPr>
        <w:t xml:space="preserve">이 값들은 고정 입력이다. 추정하거나 바꾸지 말고, 값과 모순되지 않는 1인칭 한국어 서술(4~6문장)만 작성하라.</w:t>
      </w:r>
      <w:r>
        <w:br/>
      </w:r>
      <w:r>
        <w:rPr>
          <w:rStyle w:val="VerbatimChar"/>
        </w:rPr>
        <w:t xml:space="preserve">네 속성(재정 취약성/디지털 활용/권위 순응/사회적 고립) 각각이 서술에서 드러나야 한다.</w:t>
      </w:r>
      <w:r>
        <w:br/>
      </w:r>
      <w:r>
        <w:rPr>
          <w:rStyle w:val="VerbatimChar"/>
        </w:rPr>
        <w:t xml:space="preserve">인구통계: {demographics JSON}</w:t>
      </w:r>
      <w:r>
        <w:br/>
      </w:r>
      <w:r>
        <w:rPr>
          <w:rStyle w:val="VerbatimChar"/>
        </w:rPr>
        <w:t xml:space="preserve">고정 속성값(1=낮음~5=높음): {attribute levels JSON}</w:t>
      </w:r>
      <w:r>
        <w:br/>
      </w:r>
      <w:r>
        <w:rPr>
          <w:rStyle w:val="VerbatimChar"/>
        </w:rPr>
        <w:t xml:space="preserve">서술:</w:t>
      </w:r>
    </w:p>
    <w:p>
      <w:pPr>
        <w:pStyle w:val="FirstParagraph"/>
      </w:pPr>
      <w:r>
        <w:t xml:space="preserve">Stage-3 re-extraction asked the model for a single integer 1–5 per attribute, no explanation. The</w:t>
      </w:r>
      <w:r>
        <w:t xml:space="preserve"> </w:t>
      </w:r>
      <w:r>
        <w:t xml:space="preserve">generation and extraction model was requested as</w:t>
      </w:r>
      <w:r>
        <w:t xml:space="preserve"> </w:t>
      </w:r>
      <w:r>
        <w:rPr>
          <w:rStyle w:val="VerbatimChar"/>
        </w:rPr>
        <w:t xml:space="preserve">gemini-2.5-flash</w:t>
      </w:r>
      <w:r>
        <w:t xml:space="preserve">; this is a stable pointer, not a</w:t>
      </w:r>
      <w:r>
        <w:t xml:space="preserve"> </w:t>
      </w:r>
      <w:r>
        <w:t xml:space="preserve">dated snapshot, because the dated</w:t>
      </w:r>
      <w:r>
        <w:t xml:space="preserve"> </w:t>
      </w:r>
      <w:r>
        <w:rPr>
          <w:rStyle w:val="VerbatimChar"/>
        </w:rPr>
        <w:t xml:space="preserve">gemini-2.0-flash-001</w:t>
      </w:r>
      <w:r>
        <w:t xml:space="preserve"> </w:t>
      </w:r>
      <w:r>
        <w:t xml:space="preserve">was retired for new accounts at the time of</w:t>
      </w:r>
      <w:r>
        <w:t xml:space="preserve"> </w:t>
      </w:r>
      <w:r>
        <w:t xml:space="preserve">the run. The exact responding model id is captured per record in</w:t>
      </w:r>
      <w:r>
        <w:t xml:space="preserve"> </w:t>
      </w:r>
      <w:r>
        <w:rPr>
          <w:rStyle w:val="VerbatimChar"/>
        </w:rPr>
        <w:t xml:space="preserve">gen_meta.actual_model</w:t>
      </w:r>
      <w:r>
        <w:t xml:space="preserve">; for this release it is</w:t>
      </w:r>
      <w:r>
        <w:t xml:space="preserve"> </w:t>
      </w:r>
      <w:r>
        <w:t xml:space="preserve">uniformly</w:t>
      </w:r>
      <w:r>
        <w:t xml:space="preserve"> </w:t>
      </w:r>
      <w:r>
        <w:rPr>
          <w:rStyle w:val="VerbatimChar"/>
        </w:rPr>
        <w:t xml:space="preserve">gemini-2.5-flash</w:t>
      </w:r>
      <w:r>
        <w:t xml:space="preserve"> </w:t>
      </w:r>
      <w:r>
        <w:t xml:space="preserve">across all 1M records. Temperature was 0.7 for generation. The dated snapshot</w:t>
      </w:r>
      <w:r>
        <w:t xml:space="preserve"> </w:t>
      </w:r>
      <w:r>
        <w:rPr>
          <w:rStyle w:val="VerbatimChar"/>
        </w:rPr>
        <w:t xml:space="preserve">gemini-2.5-flash</w:t>
      </w:r>
      <w:r>
        <w:t xml:space="preserve"> </w:t>
      </w:r>
      <w:r>
        <w:t xml:space="preserve">aliased at run time was the provider default; a dated snapshot id should be pinned at the</w:t>
      </w:r>
      <w:r>
        <w:t xml:space="preserve"> </w:t>
      </w:r>
      <w:r>
        <w:t xml:space="preserve">revision stage when the provider exposes one.</w:t>
      </w:r>
    </w:p>
    <w:p>
      <w:pPr>
        <w:pStyle w:val="Heading3"/>
      </w:pPr>
      <w:bookmarkStart w:id="45" w:name="figures"/>
      <w:r>
        <w:t xml:space="preserve">Figures</w:t>
      </w:r>
      <w:bookmarkEnd w:id="45"/>
    </w:p>
    <w:p>
      <w:pPr>
        <w:pStyle w:val="CaptionedFigure"/>
      </w:pPr>
      <w:r>
        <w:drawing>
          <wp:inline>
            <wp:extent cx="5334000" cy="2373162"/>
            <wp:effectExtent b="0" l="0" r="0" t="0"/>
            <wp:docPr descr="Figure 1. Construction pipeline (sample to render to round-trip)." title="" id="1" name="Picture"/>
            <a:graphic>
              <a:graphicData uri="http://schemas.openxmlformats.org/drawingml/2006/picture">
                <pic:pic>
                  <pic:nvPicPr>
                    <pic:cNvPr descr="/sessions/eloquent-focused-rubin/mnt/연구%20논문/korea-victimization-risk-benchmark/results/F1_pipelin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31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 Construction pipeline (sample to render to round-trip).</w:t>
      </w:r>
    </w:p>
    <w:p>
      <w:pPr>
        <w:pStyle w:val="CaptionedFigure"/>
      </w:pPr>
      <w:r>
        <w:drawing>
          <wp:inline>
            <wp:extent cx="5334000" cy="2331649"/>
            <wp:effectExtent b="0" l="0" r="0" t="0"/>
            <wp:docPr descr="Figure 2. By-construction fidelity to survey anchors (v4, 1M; weighted per-cell TVD &lt;= 0.0034; digital literacy 0.0019 against the recalibrated anchor)." title="" id="1" name="Picture"/>
            <a:graphic>
              <a:graphicData uri="http://schemas.openxmlformats.org/drawingml/2006/picture">
                <pic:pic>
                  <pic:nvPicPr>
                    <pic:cNvPr descr="/sessions/eloquent-focused-rubin/mnt/연구%20논문/korea-victimization-risk-benchmark/results_v4/F2_distributional_fidelity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16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 By-construction fidelity to survey anchors (v4, 1M; weighted per-cell TVD &lt;= 0.0034; digital literacy 0.0019 against the recalibrated anchor).</w:t>
      </w:r>
    </w:p>
    <w:p>
      <w:pPr>
        <w:pStyle w:val="CaptionedFigure"/>
      </w:pPr>
      <w:r>
        <w:drawing>
          <wp:inline>
            <wp:extent cx="5334000" cy="2279196"/>
            <wp:effectExtent b="0" l="0" r="0" t="0"/>
            <wp:docPr descr="Figure 3. Round-trip reliability (gemini-2.5-flash, N=2000; QWK 0.73-0.89). Cross-model (gpt-4o-2024-11-20, N=2000; QWK 0.88-0.93) in results_xmodel_N2000/." title="" id="1" name="Picture"/>
            <a:graphic>
              <a:graphicData uri="http://schemas.openxmlformats.org/drawingml/2006/picture">
                <pic:pic>
                  <pic:nvPicPr>
                    <pic:cNvPr descr="/sessions/eloquent-focused-rubin/mnt/연구%20논문/korea-victimization-risk-benchmark/results_N2000/F3_roundtrip_consistency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9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3. Round-trip reliability (gemini-2.5-flash, N=2000; QWK 0.73-0.89). Cross-model (gpt-4o-2024-11-20, N=2000; QWK 0.88-0.93) in results_xmodel_N2000/.</w:t>
      </w:r>
    </w:p>
    <w:p>
      <w:pPr>
        <w:pStyle w:val="CaptionedFigure"/>
      </w:pPr>
      <w:r>
        <w:drawing>
          <wp:inline>
            <wp:extent cx="5334000" cy="2373164"/>
            <wp:effectExtent b="0" l="0" r="0" t="0"/>
            <wp:docPr descr="Figure 4. Elderly voice-phishing cohort (usage example, not validation; v4, 1M; low digital-literacy lift x1.8 against a recalibrated 24% population rate)." title="" id="1" name="Picture"/>
            <a:graphic>
              <a:graphicData uri="http://schemas.openxmlformats.org/drawingml/2006/picture">
                <pic:pic>
                  <pic:nvPicPr>
                    <pic:cNvPr descr="/sessions/eloquent-focused-rubin/mnt/연구%20논문/korea-victimization-risk-benchmark/results_v4/F4_elderly_phishing_cohor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3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4. Elderly voice-phishing cohort (usage example, not validation; v4, 1M; low digital-literacy lift x1.8 against a recalibrated 24% population rate).</w:t>
      </w:r>
    </w:p>
    <w:p>
      <w:pPr>
        <w:pStyle w:val="CaptionedFigure"/>
      </w:pPr>
      <w:r>
        <w:drawing>
          <wp:inline>
            <wp:extent cx="5334000" cy="2373844"/>
            <wp:effectExtent b="0" l="0" r="0" t="0"/>
            <wp:docPr descr="Figure 5. Protected-attribute audit (v4; max residual Cramer V = 0.145, authority-deference x sex; digital-literacy x sex residual 0.005)." title="" id="1" name="Picture"/>
            <a:graphic>
              <a:graphicData uri="http://schemas.openxmlformats.org/drawingml/2006/picture">
                <pic:pic>
                  <pic:nvPicPr>
                    <pic:cNvPr descr="/sessions/eloquent-focused-rubin/mnt/연구%20논문/korea-victimization-risk-benchmark/results_v4/F5_stereotype_audi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38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 Protected-attribute audit (v4; max residual Cramer V = 0.145, authority-deference x sex; digital-literacy x sex residual 0.005).</w:t>
      </w:r>
    </w:p>
    <w:p>
      <w:pPr>
        <w:pStyle w:val="CaptionedFigure"/>
      </w:pPr>
      <w:r>
        <w:drawing>
          <wp:inline>
            <wp:extent cx="5334000" cy="2354053"/>
            <wp:effectExtent b="0" l="0" r="0" t="0"/>
            <wp:docPr descr="Figure 6. Inter-attribute structure under Route-B (v4; within-age |r| up to 0.077; observed PV x RP joint reported separately)." title="" id="1" name="Picture"/>
            <a:graphic>
              <a:graphicData uri="http://schemas.openxmlformats.org/drawingml/2006/picture">
                <pic:pic>
                  <pic:nvPicPr>
                    <pic:cNvPr descr="/sessions/eloquent-focused-rubin/mnt/연구%20논문/korea-victimization-risk-benchmark/results_v4/F6_joint_independenc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40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6. Inter-attribute structure under Route-B (v4; within-age |r| up to 0.077; observed PV x RP joint reported separately).</w:t>
      </w:r>
    </w:p>
    <w:p>
      <w:pPr>
        <w:pStyle w:val="CaptionedFigure"/>
      </w:pPr>
      <w:r>
        <w:drawing>
          <wp:inline>
            <wp:extent cx="5334000" cy="2678562"/>
            <wp:effectExtent b="0" l="0" r="0" t="0"/>
            <wp:docPr descr="Figure 6 (supplement a). Observed prior-victimization x reporting-propensity joint (per-cell TVD &lt;= 0.002)." title="" id="1" name="Picture"/>
            <a:graphic>
              <a:graphicData uri="http://schemas.openxmlformats.org/drawingml/2006/picture">
                <pic:pic>
                  <pic:nvPicPr>
                    <pic:cNvPr descr="/sessions/eloquent-focused-rubin/mnt/연구%20논문/korea-victimization-risk-benchmark/results/F6prime_pvrp_joint_b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85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 (supplement a). Observed prior-victimization x reporting-propensity joint (per-cell TVD &lt;= 0.002).</w:t>
      </w:r>
    </w:p>
    <w:p>
      <w:pPr>
        <w:pStyle w:val="CaptionedFigure"/>
      </w:pPr>
      <w:r>
        <w:drawing>
          <wp:inline>
            <wp:extent cx="5334000" cy="3229394"/>
            <wp:effectExtent b="0" l="0" r="0" t="0"/>
            <wp:docPr descr="Figure 6 (supplement b). Convergent validity for the competency-anchored digital-literacy gradient (Spearman rho 0.975, n=5 age bands; p-value uninformative)." title="" id="1" name="Picture"/>
            <a:graphic>
              <a:graphicData uri="http://schemas.openxmlformats.org/drawingml/2006/picture">
                <pic:pic>
                  <pic:nvPicPr>
                    <pic:cNvPr descr="/sessions/eloquent-focused-rubin/mnt/연구%20논문/korea-victimization-risk-benchmark/results/C1_external_validity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29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 (supplement b). Convergent validity for the competency-anchored digital-literacy gradient (Spearman rho 0.975, n=5 age bands; p-value uninformative).</w:t>
      </w:r>
    </w:p>
    <w:p>
      <w:pPr>
        <w:pStyle w:val="CaptionedFigure"/>
      </w:pPr>
      <w:r>
        <w:drawing>
          <wp:inline>
            <wp:extent cx="5334000" cy="2154492"/>
            <wp:effectExtent b="0" l="0" r="0" t="0"/>
            <wp:docPr descr="Figure 7. External joint validation vs the 2023 National Survey of Older Koreans (노인실태조사), elderly 65+: real dependence 2.36x independence (bootstrap CI 2.20-2.55) vs KVRB 1.29x; the recalibrated digital-literacy marginal now matches (35% low vs 37%); pairwise Cramer’s V real &gt; KVRB on all three pairs." title="" id="1" name="Picture"/>
            <a:graphic>
              <a:graphicData uri="http://schemas.openxmlformats.org/drawingml/2006/picture">
                <pic:pic>
                  <pic:nvPicPr>
                    <pic:cNvPr descr="/sessions/eloquent-focused-rubin/mnt/연구%20논문/korea-victimization-risk-benchmark/results_v4/F7_external_joint_noin202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54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 External joint validation vs the 2023 National Survey of Older Koreans (노인실태조사), elderly 65+: real dependence 2.36x independence (bootstrap CI 2.20-2.55) vs KVRB 1.29x; the recalibrated digital-literacy marginal now matches (35% low vs 37%); pairwise Cramer’s V real &gt; KVRB on all three pairs.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3" Target="media/rId53.png" /><Relationship Type="http://schemas.openxmlformats.org/officeDocument/2006/relationships/image" Id="rId46" Target="media/rId46.png" /><Relationship Type="http://schemas.openxmlformats.org/officeDocument/2006/relationships/image" Id="rId52" Target="media/rId52.png" /><Relationship Type="http://schemas.openxmlformats.org/officeDocument/2006/relationships/image" Id="rId48" Target="media/rId48.png" /><Relationship Type="http://schemas.openxmlformats.org/officeDocument/2006/relationships/image" Id="rId47" Target="media/rId47.png" /><Relationship Type="http://schemas.openxmlformats.org/officeDocument/2006/relationships/image" Id="rId49" Target="media/rId49.png" /><Relationship Type="http://schemas.openxmlformats.org/officeDocument/2006/relationships/image" Id="rId50" Target="media/rId50.png" /><Relationship Type="http://schemas.openxmlformats.org/officeDocument/2006/relationships/image" Id="rId51" Target="media/rId51.png" /><Relationship Type="http://schemas.openxmlformats.org/officeDocument/2006/relationships/image" Id="rId54" Target="media/rId54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2026-06-01T10:21:52Z</dcterms:created>
  <dcterms:modified xsi:type="dcterms:W3CDTF">2026-06-01T10:21:52Z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