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07841733"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w:t>
      </w:r>
      <w:r w:rsidR="006A2189">
        <w:rPr>
          <w:rFonts w:ascii="Sylfaen" w:eastAsia="Times New Roman" w:hAnsi="Sylfaen" w:cs="Arial"/>
          <w:bCs/>
          <w:color w:val="000000"/>
          <w:sz w:val="18"/>
          <w:szCs w:val="18"/>
          <w:lang w:val="ka-GE"/>
        </w:rPr>
        <w:t xml:space="preserve">595080056; </w:t>
      </w:r>
      <w:r>
        <w:rPr>
          <w:rFonts w:ascii="Sylfaen" w:eastAsia="Times New Roman" w:hAnsi="Sylfaen" w:cs="Arial"/>
          <w:bCs/>
          <w:color w:val="000000"/>
          <w:sz w:val="18"/>
          <w:szCs w:val="18"/>
          <w:lang w:val="ka-GE"/>
        </w:rPr>
        <w:t>598-857-657;  577-553-867.</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039E2EB3"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C137CF">
        <w:rPr>
          <w:rFonts w:ascii="Sylfaen" w:hAnsi="Sylfaen" w:cs="Times New Roman"/>
          <w:bCs/>
          <w:lang w:val="ka-GE" w:eastAsia="ru-RU"/>
        </w:rPr>
        <w:t>30</w:t>
      </w:r>
      <w:r w:rsidR="004F256D">
        <w:rPr>
          <w:rFonts w:ascii="Sylfaen" w:hAnsi="Sylfaen" w:cs="Times New Roman"/>
          <w:bCs/>
          <w:lang w:val="ka-GE" w:eastAsia="ru-RU"/>
        </w:rPr>
        <w:t>.06.2020</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3330BAC6"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4F256D">
        <w:rPr>
          <w:rFonts w:ascii="Sylfaen" w:hAnsi="Sylfaen" w:cs="Times New Roman"/>
          <w:lang w:val="ka-GE" w:eastAsia="ru-RU"/>
        </w:rPr>
        <w:t>12</w:t>
      </w:r>
      <w:r w:rsidR="00C137CF">
        <w:rPr>
          <w:rFonts w:ascii="Sylfaen" w:hAnsi="Sylfaen" w:cs="Times New Roman"/>
          <w:lang w:val="ka-GE" w:eastAsia="ru-RU"/>
        </w:rPr>
        <w:t>828</w:t>
      </w:r>
    </w:p>
    <w:p w14:paraId="0CC9876B" w14:textId="112E6FF3"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C137CF">
        <w:rPr>
          <w:rFonts w:ascii="Sylfaen" w:hAnsi="Sylfaen" w:cs="Times New Roman"/>
          <w:lang w:val="ka-GE" w:eastAsia="ru-RU"/>
        </w:rPr>
        <w:t>ირმა ქობულაძე</w:t>
      </w:r>
      <w:r w:rsidR="002A3F91">
        <w:rPr>
          <w:rFonts w:ascii="Sylfaen" w:hAnsi="Sylfaen" w:cs="Times New Roman"/>
          <w:lang w:val="ka-GE" w:eastAsia="ru-RU"/>
        </w:rPr>
        <w:t xml:space="preserve"> </w:t>
      </w:r>
      <w:r w:rsidR="00683774">
        <w:rPr>
          <w:rFonts w:ascii="Sylfaen" w:hAnsi="Sylfaen" w:cs="Times New Roman"/>
          <w:lang w:val="ka-GE" w:eastAsia="ru-RU"/>
        </w:rPr>
        <w:t xml:space="preserve"> </w:t>
      </w:r>
      <w:r w:rsidR="007514D0" w:rsidRPr="001968F9">
        <w:rPr>
          <w:rFonts w:ascii="Sylfaen" w:hAnsi="Sylfaen" w:cs="Times New Roman"/>
          <w:lang w:val="ka-GE" w:eastAsia="ru-RU"/>
        </w:rPr>
        <w:t>პ/ნ:</w:t>
      </w:r>
      <w:r w:rsidR="004F256D">
        <w:rPr>
          <w:rFonts w:ascii="Sylfaen" w:hAnsi="Sylfaen" w:cs="Times New Roman"/>
          <w:lang w:val="ka-GE" w:eastAsia="ru-RU"/>
        </w:rPr>
        <w:t xml:space="preserve"> </w:t>
      </w:r>
      <w:r w:rsidR="00C137CF">
        <w:rPr>
          <w:rFonts w:ascii="Sylfaen" w:hAnsi="Sylfaen" w:cs="Times New Roman"/>
          <w:lang w:val="ka-GE" w:eastAsia="ru-RU"/>
        </w:rPr>
        <w:t xml:space="preserve">   60002000839 </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4F256D">
        <w:rPr>
          <w:rFonts w:ascii="Sylfaen" w:hAnsi="Sylfaen" w:cs="Times New Roman"/>
          <w:lang w:val="ka-GE" w:eastAsia="ru-RU"/>
        </w:rPr>
        <w:t xml:space="preserve"> </w:t>
      </w:r>
      <w:r w:rsidR="00C137CF">
        <w:rPr>
          <w:rFonts w:ascii="Sylfaen" w:hAnsi="Sylfaen" w:cs="Times New Roman"/>
          <w:lang w:val="ka-GE" w:eastAsia="ru-RU"/>
        </w:rPr>
        <w:t>ნინო ბიწაძე</w:t>
      </w:r>
      <w:r w:rsidR="004F256D">
        <w:rPr>
          <w:rFonts w:ascii="Sylfaen" w:hAnsi="Sylfaen" w:cs="Times New Roman"/>
          <w:lang w:val="ka-GE" w:eastAsia="ru-RU"/>
        </w:rPr>
        <w:t xml:space="preserve"> </w:t>
      </w:r>
      <w:r w:rsidR="00772073">
        <w:rPr>
          <w:rFonts w:ascii="Sylfaen" w:hAnsi="Sylfaen" w:cs="Times New Roman"/>
          <w:lang w:val="ka-GE" w:eastAsia="ru-RU"/>
        </w:rPr>
        <w:t>პ/ნ:</w:t>
      </w:r>
      <w:r w:rsidR="001F3688">
        <w:rPr>
          <w:rFonts w:ascii="Sylfaen" w:hAnsi="Sylfaen" w:cs="Times New Roman"/>
          <w:lang w:val="ka-GE" w:eastAsia="ru-RU"/>
        </w:rPr>
        <w:t xml:space="preserve"> </w:t>
      </w:r>
      <w:r w:rsidR="00C137CF">
        <w:rPr>
          <w:color w:val="000000"/>
          <w:sz w:val="27"/>
          <w:szCs w:val="27"/>
          <w:lang w:val="ka-GE"/>
        </w:rPr>
        <w:t xml:space="preserve">01024034344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06D1EAAE" w:rsidR="00C82DF3" w:rsidRPr="00093624" w:rsidRDefault="00C137CF"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30.</w:t>
      </w:r>
      <w:r w:rsidR="004F256D">
        <w:rPr>
          <w:rFonts w:ascii="Sylfaen" w:hAnsi="Sylfaen" w:cs="Times New Roman"/>
          <w:i/>
          <w:iCs/>
          <w:color w:val="373E4D"/>
          <w:u w:val="single"/>
          <w:shd w:val="clear" w:color="auto" w:fill="FEFEFE"/>
          <w:lang w:val="ka-GE" w:eastAsia="ru-RU"/>
        </w:rPr>
        <w:t>06.2020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30</w:t>
      </w:r>
      <w:r w:rsidR="004F256D">
        <w:rPr>
          <w:rFonts w:ascii="Sylfaen" w:hAnsi="Sylfaen" w:cs="Times New Roman"/>
          <w:i/>
          <w:iCs/>
          <w:color w:val="373E4D"/>
          <w:u w:val="single"/>
          <w:shd w:val="clear" w:color="auto" w:fill="FEFEFE"/>
          <w:lang w:val="ka-GE" w:eastAsia="ru-RU"/>
        </w:rPr>
        <w:t>.06.2021-მდე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77A4A111"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4F256D">
        <w:rPr>
          <w:rFonts w:ascii="Sylfaen" w:hAnsi="Sylfaen" w:cs="Times New Roman"/>
          <w:lang w:val="ka-GE" w:eastAsia="ru-RU"/>
        </w:rPr>
        <w:t>60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01A04CA7"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4F256D">
        <w:rPr>
          <w:rFonts w:ascii="Sylfaen" w:hAnsi="Sylfaen" w:cs="Times New Roman"/>
          <w:lang w:val="ka-GE" w:eastAsia="ru-RU"/>
        </w:rPr>
        <w:t xml:space="preserve"> 600 (ექვსასი)</w:t>
      </w:r>
      <w:r w:rsidR="00683774">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w:t>
      </w:r>
      <w:r w:rsidR="00C137CF">
        <w:rPr>
          <w:rFonts w:ascii="Sylfaen" w:hAnsi="Sylfaen" w:cs="Times New Roman"/>
          <w:lang w:val="ka-GE" w:eastAsia="ru-RU"/>
        </w:rPr>
        <w:t xml:space="preserve"> 300</w:t>
      </w:r>
      <w:r w:rsidR="004F256D">
        <w:rPr>
          <w:rFonts w:ascii="Sylfaen" w:hAnsi="Sylfaen" w:cs="Times New Roman"/>
          <w:lang w:val="ka-GE" w:eastAsia="ru-RU"/>
        </w:rPr>
        <w:t xml:space="preserve"> (</w:t>
      </w:r>
      <w:r w:rsidR="00C137CF">
        <w:rPr>
          <w:rFonts w:ascii="Sylfaen" w:hAnsi="Sylfaen" w:cs="Times New Roman"/>
          <w:lang w:val="ka-GE" w:eastAsia="ru-RU"/>
        </w:rPr>
        <w:t>სამასი</w:t>
      </w:r>
      <w:r w:rsidR="004F256D">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4F256D">
        <w:rPr>
          <w:rFonts w:ascii="Sylfaen" w:hAnsi="Sylfaen" w:cs="Times New Roman"/>
          <w:lang w:val="ka-GE" w:eastAsia="ru-RU"/>
        </w:rPr>
        <w:t xml:space="preserve">300 (სამასი) </w:t>
      </w:r>
      <w:r w:rsidR="001F3688">
        <w:rPr>
          <w:rFonts w:ascii="Sylfaen" w:hAnsi="Sylfaen" w:cs="Times New Roman"/>
          <w:lang w:val="ka-GE" w:eastAsia="ru-RU"/>
        </w:rPr>
        <w:t xml:space="preserve"> </w:t>
      </w:r>
      <w:r w:rsidR="00683774">
        <w:rPr>
          <w:rFonts w:ascii="Sylfaen" w:hAnsi="Sylfaen" w:cs="Times New Roman"/>
          <w:lang w:val="ka-GE" w:eastAsia="ru-RU"/>
        </w:rPr>
        <w:t xml:space="preserve">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სულ ჯამში =</w:t>
      </w:r>
      <w:r w:rsidR="00C137CF">
        <w:rPr>
          <w:rFonts w:ascii="Sylfaen" w:hAnsi="Sylfaen" w:cs="Times New Roman"/>
          <w:lang w:val="ka-GE" w:eastAsia="ru-RU"/>
        </w:rPr>
        <w:t xml:space="preserve"> 360</w:t>
      </w:r>
      <w:r w:rsidR="004F256D">
        <w:rPr>
          <w:rFonts w:ascii="Sylfaen" w:hAnsi="Sylfaen" w:cs="Times New Roman"/>
          <w:lang w:val="ka-GE" w:eastAsia="ru-RU"/>
        </w:rPr>
        <w:t xml:space="preserve"> </w:t>
      </w:r>
      <w:r w:rsidR="00973C00">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C137CF">
        <w:rPr>
          <w:rFonts w:ascii="Sylfaen" w:hAnsi="Sylfaen" w:cs="Times New Roman"/>
          <w:lang w:val="ka-GE" w:eastAsia="ru-RU"/>
        </w:rPr>
        <w:t>16</w:t>
      </w:r>
      <w:r w:rsidR="004F256D">
        <w:rPr>
          <w:rFonts w:ascii="Sylfaen" w:hAnsi="Sylfaen" w:cs="Times New Roman"/>
          <w:lang w:val="ka-GE" w:eastAsia="ru-RU"/>
        </w:rPr>
        <w:t xml:space="preserve">.07.2020 </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DA9570A" w:rsidR="00C82DF3" w:rsidRDefault="00C82DF3" w:rsidP="00C82DF3">
      <w:pPr>
        <w:spacing w:after="0" w:line="240" w:lineRule="auto"/>
        <w:jc w:val="both"/>
        <w:textAlignment w:val="baseline"/>
        <w:rPr>
          <w:rFonts w:ascii="Calibri" w:hAnsi="Calibri" w:cs="Times New Roman"/>
          <w:lang w:val="ka-GE" w:eastAsia="ru-RU"/>
        </w:rPr>
      </w:pPr>
      <w:r w:rsidRPr="00EA3B48">
        <w:rPr>
          <w:rFonts w:ascii="Calibri" w:hAnsi="Calibri" w:cs="Times New Roman"/>
          <w:lang w:val="ka-GE" w:eastAsia="ru-RU"/>
        </w:rPr>
        <w:t> </w:t>
      </w:r>
    </w:p>
    <w:p w14:paraId="647D1990" w14:textId="2E4A8327" w:rsidR="00C137CF" w:rsidRDefault="00C137CF" w:rsidP="00C82DF3">
      <w:pPr>
        <w:spacing w:after="0" w:line="240" w:lineRule="auto"/>
        <w:jc w:val="both"/>
        <w:textAlignment w:val="baseline"/>
        <w:rPr>
          <w:rFonts w:ascii="Calibri" w:hAnsi="Calibri" w:cs="Times New Roman"/>
          <w:lang w:val="ka-GE" w:eastAsia="ru-RU"/>
        </w:rPr>
      </w:pPr>
    </w:p>
    <w:p w14:paraId="7B9640D6" w14:textId="4E42517F" w:rsidR="00C137CF" w:rsidRDefault="00C137CF" w:rsidP="00C82DF3">
      <w:pPr>
        <w:spacing w:after="0" w:line="240" w:lineRule="auto"/>
        <w:jc w:val="both"/>
        <w:textAlignment w:val="baseline"/>
        <w:rPr>
          <w:rFonts w:ascii="Calibri" w:hAnsi="Calibri" w:cs="Times New Roman"/>
          <w:lang w:val="ka-GE" w:eastAsia="ru-RU"/>
        </w:rPr>
      </w:pPr>
    </w:p>
    <w:p w14:paraId="613D436F" w14:textId="0650F26A" w:rsidR="00C137CF" w:rsidRDefault="00C137CF" w:rsidP="00C82DF3">
      <w:pPr>
        <w:spacing w:after="0" w:line="240" w:lineRule="auto"/>
        <w:jc w:val="both"/>
        <w:textAlignment w:val="baseline"/>
        <w:rPr>
          <w:rFonts w:ascii="Calibri" w:hAnsi="Calibri" w:cs="Times New Roman"/>
          <w:lang w:val="ka-GE" w:eastAsia="ru-RU"/>
        </w:rPr>
      </w:pPr>
    </w:p>
    <w:p w14:paraId="6A706E00" w14:textId="77777777" w:rsidR="00C137CF" w:rsidRPr="00EA3B48" w:rsidRDefault="00C137CF" w:rsidP="00C82DF3">
      <w:pPr>
        <w:spacing w:after="0" w:line="240" w:lineRule="auto"/>
        <w:jc w:val="both"/>
        <w:textAlignment w:val="baseline"/>
        <w:rPr>
          <w:rFonts w:ascii="Tahoma" w:hAnsi="Tahoma" w:cs="Times New Roman"/>
          <w:sz w:val="12"/>
          <w:szCs w:val="12"/>
          <w:lang w:val="ka-GE" w:eastAsia="ru-RU"/>
        </w:rPr>
      </w:pP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3C2234DC"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3B5AA05B"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C137CF">
        <w:rPr>
          <w:rFonts w:ascii="Sylfaen" w:hAnsi="Sylfaen" w:cs="Times New Roman"/>
          <w:lang w:val="ka-GE" w:eastAsia="ru-RU"/>
        </w:rPr>
        <w:t>6</w:t>
      </w:r>
      <w:r w:rsidR="001F3688">
        <w:rPr>
          <w:rFonts w:ascii="Sylfaen" w:hAnsi="Sylfaen" w:cs="Times New Roman"/>
          <w:lang w:val="ka-GE" w:eastAsia="ru-RU"/>
        </w:rPr>
        <w:t>00 (</w:t>
      </w:r>
      <w:r w:rsidR="00C137CF">
        <w:rPr>
          <w:rFonts w:ascii="Sylfaen" w:hAnsi="Sylfaen" w:cs="Times New Roman"/>
          <w:lang w:val="ka-GE" w:eastAsia="ru-RU"/>
        </w:rPr>
        <w:t>ექვსასი</w:t>
      </w:r>
      <w:r w:rsidR="001F3688">
        <w:rPr>
          <w:rFonts w:ascii="Sylfaen" w:hAnsi="Sylfaen" w:cs="Times New Roman"/>
          <w:lang w:val="ka-GE" w:eastAsia="ru-RU"/>
        </w:rPr>
        <w:t>)</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1F3688">
        <w:rPr>
          <w:rFonts w:ascii="Sylfaen" w:hAnsi="Sylfaen" w:cs="Times New Roman"/>
          <w:lang w:val="ka-GE" w:eastAsia="ru-RU"/>
        </w:rPr>
        <w:t>3</w:t>
      </w:r>
      <w:r w:rsidR="00C137CF">
        <w:rPr>
          <w:rFonts w:ascii="Sylfaen" w:hAnsi="Sylfaen" w:cs="Times New Roman"/>
          <w:lang w:val="ka-GE" w:eastAsia="ru-RU"/>
        </w:rPr>
        <w:t>0</w:t>
      </w:r>
      <w:r w:rsidR="001F3688">
        <w:rPr>
          <w:rFonts w:ascii="Sylfaen" w:hAnsi="Sylfaen" w:cs="Times New Roman"/>
          <w:lang w:val="ka-GE" w:eastAsia="ru-RU"/>
        </w:rPr>
        <w:t xml:space="preserve">0 </w:t>
      </w:r>
      <w:r w:rsidR="001F3688" w:rsidRPr="003228DA">
        <w:rPr>
          <w:rFonts w:ascii="Sylfaen" w:hAnsi="Sylfaen" w:cs="Times New Roman"/>
          <w:lang w:val="ka-GE" w:eastAsia="ru-RU"/>
        </w:rPr>
        <w:t xml:space="preserve"> </w:t>
      </w:r>
      <w:r w:rsidR="001F3688">
        <w:rPr>
          <w:rFonts w:ascii="Sylfaen" w:hAnsi="Sylfaen" w:cs="Times New Roman"/>
          <w:lang w:val="ka-GE" w:eastAsia="ru-RU"/>
        </w:rPr>
        <w:t>(სამა</w:t>
      </w:r>
      <w:r w:rsidR="00C137CF">
        <w:rPr>
          <w:rFonts w:ascii="Sylfaen" w:hAnsi="Sylfaen" w:cs="Times New Roman"/>
          <w:lang w:val="ka-GE" w:eastAsia="ru-RU"/>
        </w:rPr>
        <w:t>ს</w:t>
      </w:r>
      <w:r w:rsidR="001F3688">
        <w:rPr>
          <w:rFonts w:ascii="Sylfaen" w:hAnsi="Sylfaen" w:cs="Times New Roman"/>
          <w:lang w:val="ka-GE" w:eastAsia="ru-RU"/>
        </w:rPr>
        <w:t xml:space="preserve">ი)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38F18AA5"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2</w:t>
      </w:r>
      <w:r w:rsidR="00C137CF">
        <w:rPr>
          <w:rFonts w:ascii="Sylfaen" w:hAnsi="Sylfaen" w:cs="Times New Roman"/>
          <w:lang w:val="ka-GE" w:eastAsia="ru-RU"/>
        </w:rPr>
        <w:t>5</w:t>
      </w:r>
      <w:r w:rsidR="00375CE6">
        <w:rPr>
          <w:rFonts w:ascii="Sylfaen" w:hAnsi="Sylfaen" w:cs="Times New Roman"/>
          <w:lang w:val="ka-GE" w:eastAsia="ru-RU"/>
        </w:rPr>
        <w:t xml:space="preserve"> </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C137CF">
        <w:rPr>
          <w:rFonts w:ascii="Sylfaen" w:hAnsi="Sylfaen" w:cs="Times New Roman"/>
          <w:lang w:val="ka-GE" w:eastAsia="ru-RU"/>
        </w:rPr>
        <w:t>ხუთი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403BF317"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C137CF">
        <w:rPr>
          <w:rFonts w:ascii="Sylfaen" w:hAnsi="Sylfaen" w:cs="Times New Roman"/>
          <w:lang w:val="ka-GE" w:eastAsia="ru-RU"/>
        </w:rPr>
        <w:t>300</w:t>
      </w:r>
      <w:r w:rsidR="00683774">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287A18F1"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proofErr w:type="spellStart"/>
      <w:r w:rsidR="004F256D">
        <w:rPr>
          <w:rFonts w:ascii="Sylfaen" w:hAnsi="Sylfaen" w:cs="Sylfaen"/>
          <w:color w:val="333333"/>
          <w:sz w:val="27"/>
          <w:szCs w:val="27"/>
          <w:shd w:val="clear" w:color="auto" w:fill="FFFFFF"/>
        </w:rPr>
        <w:t>ორშაბათიდან</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პარასკევის</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დილის</w:t>
      </w:r>
      <w:proofErr w:type="spellEnd"/>
      <w:r w:rsidR="004F256D">
        <w:rPr>
          <w:rFonts w:ascii="Helvetica" w:hAnsi="Helvetica" w:cs="Helvetica"/>
          <w:color w:val="333333"/>
          <w:sz w:val="27"/>
          <w:szCs w:val="27"/>
          <w:shd w:val="clear" w:color="auto" w:fill="FFFFFF"/>
        </w:rPr>
        <w:t xml:space="preserve"> 10:00-</w:t>
      </w:r>
      <w:r w:rsidR="004F256D">
        <w:rPr>
          <w:rFonts w:ascii="Sylfaen" w:hAnsi="Sylfaen" w:cs="Sylfaen"/>
          <w:color w:val="333333"/>
          <w:sz w:val="27"/>
          <w:szCs w:val="27"/>
          <w:shd w:val="clear" w:color="auto" w:fill="FFFFFF"/>
        </w:rPr>
        <w:t>დან</w:t>
      </w:r>
      <w:r w:rsidR="004F256D">
        <w:rPr>
          <w:rFonts w:ascii="Helvetica" w:hAnsi="Helvetica" w:cs="Helvetica"/>
          <w:color w:val="333333"/>
          <w:sz w:val="27"/>
          <w:szCs w:val="27"/>
          <w:shd w:val="clear" w:color="auto" w:fill="FFFFFF"/>
        </w:rPr>
        <w:t xml:space="preserve"> </w:t>
      </w:r>
      <w:r w:rsidR="004F256D">
        <w:rPr>
          <w:rFonts w:ascii="Sylfaen" w:hAnsi="Sylfaen" w:cs="Sylfaen"/>
          <w:color w:val="333333"/>
          <w:sz w:val="27"/>
          <w:szCs w:val="27"/>
          <w:shd w:val="clear" w:color="auto" w:fill="FFFFFF"/>
        </w:rPr>
        <w:t>საღამოს</w:t>
      </w:r>
      <w:r w:rsidR="004F256D">
        <w:rPr>
          <w:rFonts w:ascii="Helvetica" w:hAnsi="Helvetica" w:cs="Helvetica"/>
          <w:color w:val="333333"/>
          <w:sz w:val="27"/>
          <w:szCs w:val="27"/>
          <w:shd w:val="clear" w:color="auto" w:fill="FFFFFF"/>
        </w:rPr>
        <w:t xml:space="preserve">19:00 </w:t>
      </w:r>
      <w:proofErr w:type="spellStart"/>
      <w:r w:rsidR="004F256D">
        <w:rPr>
          <w:rFonts w:ascii="Sylfaen" w:hAnsi="Sylfaen" w:cs="Sylfaen"/>
          <w:color w:val="333333"/>
          <w:sz w:val="27"/>
          <w:szCs w:val="27"/>
          <w:shd w:val="clear" w:color="auto" w:fill="FFFFFF"/>
        </w:rPr>
        <w:t>ჩათვლით</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შაბათი</w:t>
      </w:r>
      <w:r w:rsidR="004F256D">
        <w:rPr>
          <w:rFonts w:ascii="Helvetica" w:hAnsi="Helvetica" w:cs="Helvetica"/>
          <w:color w:val="333333"/>
          <w:sz w:val="27"/>
          <w:szCs w:val="27"/>
          <w:shd w:val="clear" w:color="auto" w:fill="FFFFFF"/>
        </w:rPr>
        <w:t>-</w:t>
      </w:r>
      <w:r w:rsidR="004F256D">
        <w:rPr>
          <w:rFonts w:ascii="Sylfaen" w:hAnsi="Sylfaen" w:cs="Sylfaen"/>
          <w:color w:val="333333"/>
          <w:sz w:val="27"/>
          <w:szCs w:val="27"/>
          <w:shd w:val="clear" w:color="auto" w:fill="FFFFFF"/>
        </w:rPr>
        <w:t>კვირა</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დასვენებით</w:t>
      </w:r>
      <w:proofErr w:type="spellEnd"/>
      <w:r w:rsidR="004F256D">
        <w:rPr>
          <w:rFonts w:ascii="Helvetica" w:hAnsi="Helvetica" w:cs="Helvetica"/>
          <w:color w:val="333333"/>
          <w:sz w:val="27"/>
          <w:szCs w:val="27"/>
          <w:shd w:val="clear" w:color="auto" w:fill="FFFFFF"/>
        </w:rPr>
        <w:t>.</w:t>
      </w:r>
      <w:r w:rsidR="00C3491B" w:rsidRPr="00C3491B">
        <w:rPr>
          <w:rFonts w:ascii="Sylfaen" w:hAnsi="Sylfaen" w:cs="Sylfaen"/>
          <w:color w:val="333333"/>
          <w:shd w:val="clear" w:color="auto" w:fill="F5F5F5"/>
          <w:lang w:val="ka-GE"/>
        </w:rPr>
        <w:t xml:space="preserve"> </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1136799D"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C137CF">
        <w:rPr>
          <w:rFonts w:ascii="Sylfaen" w:hAnsi="Sylfaen" w:cs="Times New Roman"/>
          <w:sz w:val="24"/>
          <w:szCs w:val="24"/>
          <w:lang w:val="ka-GE" w:eastAsia="ru-RU"/>
        </w:rPr>
        <w:t>1,3 წლის გოგონას</w:t>
      </w:r>
      <w:r w:rsidR="004C7368">
        <w:rPr>
          <w:rFonts w:ascii="Sylfaen" w:hAnsi="Sylfaen" w:cs="Times New Roman"/>
          <w:sz w:val="24"/>
          <w:szCs w:val="24"/>
          <w:lang w:val="ka-GE" w:eastAsia="ru-RU"/>
        </w:rPr>
        <w:t xml:space="preserve">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69BE5892" w14:textId="6A9121E4" w:rsidR="007D2794" w:rsidRPr="00C54E1B"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5CCE1B4B" w14:textId="77777777" w:rsidR="00C54E1B" w:rsidRPr="003228DA" w:rsidRDefault="00C54E1B" w:rsidP="00C54E1B">
      <w:pPr>
        <w:pStyle w:val="a8"/>
        <w:ind w:left="720"/>
        <w:rPr>
          <w:rFonts w:ascii="Verdana" w:hAnsi="Verdana"/>
          <w:color w:val="000000"/>
          <w:sz w:val="22"/>
          <w:szCs w:val="22"/>
        </w:rPr>
      </w:pPr>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1CB160E9" w:rsidR="00E3505C" w:rsidRDefault="00E3505C" w:rsidP="00C82DF3">
      <w:pPr>
        <w:spacing w:after="0" w:line="240" w:lineRule="auto"/>
        <w:jc w:val="both"/>
        <w:textAlignment w:val="baseline"/>
        <w:rPr>
          <w:rFonts w:ascii="Sylfaen" w:hAnsi="Sylfaen" w:cs="Times New Roman"/>
          <w:b/>
          <w:bCs/>
          <w:lang w:val="ka-GE" w:eastAsia="ru-RU"/>
        </w:rPr>
      </w:pPr>
    </w:p>
    <w:p w14:paraId="5BDF8816" w14:textId="29748BBC" w:rsidR="00973C00" w:rsidRDefault="00973C00" w:rsidP="00C82DF3">
      <w:pPr>
        <w:spacing w:after="0" w:line="240" w:lineRule="auto"/>
        <w:jc w:val="both"/>
        <w:textAlignment w:val="baseline"/>
        <w:rPr>
          <w:rFonts w:ascii="Sylfaen" w:hAnsi="Sylfaen" w:cs="Times New Roman"/>
          <w:b/>
          <w:bCs/>
          <w:lang w:val="ka-GE" w:eastAsia="ru-RU"/>
        </w:rPr>
      </w:pPr>
    </w:p>
    <w:p w14:paraId="772179AB" w14:textId="77777777" w:rsidR="00973C00" w:rsidRDefault="00973C00"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709A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3B4ADB37"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A04613">
        <w:rPr>
          <w:rFonts w:ascii="Sylfaen" w:hAnsi="Sylfaen" w:cs="Times New Roman"/>
          <w:lang w:val="ka-GE" w:eastAsia="ru-RU"/>
        </w:rPr>
        <w:t xml:space="preserve"> </w:t>
      </w:r>
      <w:r w:rsidR="00C137CF">
        <w:rPr>
          <w:rFonts w:ascii="Sylfaen" w:hAnsi="Sylfaen" w:cs="Times New Roman"/>
          <w:lang w:val="ka-GE" w:eastAsia="ru-RU"/>
        </w:rPr>
        <w:t>ნინო</w:t>
      </w:r>
      <w:r w:rsidR="004F256D">
        <w:rPr>
          <w:rFonts w:ascii="Sylfaen" w:hAnsi="Sylfaen" w:cs="Times New Roman"/>
          <w:lang w:val="ka-GE" w:eastAsia="ru-RU"/>
        </w:rPr>
        <w:t xml:space="preserve">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C137CF">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C137CF">
        <w:rPr>
          <w:rFonts w:ascii="Sylfaen" w:hAnsi="Sylfaen" w:cs="Times New Roman"/>
          <w:lang w:val="ka-GE" w:eastAsia="ru-RU"/>
        </w:rPr>
        <w:t xml:space="preserve">ირმა </w:t>
      </w:r>
    </w:p>
    <w:p w14:paraId="02C568D0" w14:textId="42A98664" w:rsidR="00C82DF3" w:rsidRPr="00973C00"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C865DE">
        <w:rPr>
          <w:rFonts w:ascii="Sylfaen" w:hAnsi="Sylfaen" w:cs="Times New Roman"/>
          <w:lang w:val="ka-GE" w:eastAsia="ru-RU"/>
        </w:rPr>
        <w:t xml:space="preserve">  </w:t>
      </w:r>
      <w:r w:rsidR="00C137CF">
        <w:rPr>
          <w:rFonts w:ascii="Sylfaen" w:hAnsi="Sylfaen" w:cs="Times New Roman"/>
          <w:lang w:val="ka-GE" w:eastAsia="ru-RU"/>
        </w:rPr>
        <w:t>ბიწაძე</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366863">
        <w:rPr>
          <w:rFonts w:ascii="Sylfaen" w:hAnsi="Sylfaen" w:cs="Times New Roman"/>
          <w:lang w:val="ka-GE" w:eastAsia="ru-RU"/>
        </w:rPr>
        <w:t xml:space="preserve">     </w:t>
      </w:r>
      <w:r w:rsidR="004C7368">
        <w:rPr>
          <w:rFonts w:ascii="Sylfaen" w:hAnsi="Sylfaen" w:cs="Times New Roman"/>
          <w:lang w:val="ka-GE" w:eastAsia="ru-RU"/>
        </w:rPr>
        <w:t xml:space="preserve"> </w:t>
      </w:r>
      <w:r w:rsidR="00C137CF">
        <w:rPr>
          <w:rFonts w:ascii="Sylfaen" w:hAnsi="Sylfaen" w:cs="Times New Roman"/>
          <w:lang w:val="ka-GE" w:eastAsia="ru-RU"/>
        </w:rPr>
        <w:t xml:space="preserve">          </w:t>
      </w:r>
      <w:r w:rsidR="00973C00">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C137CF">
        <w:rPr>
          <w:rFonts w:ascii="Sylfaen" w:hAnsi="Sylfaen" w:cs="Times New Roman"/>
          <w:lang w:val="ka-GE" w:eastAsia="ru-RU"/>
        </w:rPr>
        <w:t>ქობულაძე</w:t>
      </w:r>
    </w:p>
    <w:p w14:paraId="0A6EA047" w14:textId="355AA76B" w:rsidR="0056150A" w:rsidRPr="0056150A" w:rsidRDefault="00C82DF3" w:rsidP="0056150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00C137CF">
        <w:rPr>
          <w:rFonts w:ascii="Sylfaen" w:hAnsi="Sylfaen" w:cs="Times New Roman"/>
          <w:lang w:val="ka-GE" w:eastAsia="ru-RU"/>
        </w:rPr>
        <w:t xml:space="preserve">   01024034344</w:t>
      </w:r>
      <w:r w:rsidRPr="006F0587">
        <w:rPr>
          <w:rFonts w:ascii="Sylfaen" w:hAnsi="Sylfaen" w:cs="Times New Roman"/>
          <w:lang w:val="ka-GE" w:eastAsia="ru-RU"/>
        </w:rPr>
        <w:t> </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00973C00">
        <w:rPr>
          <w:rFonts w:ascii="Sylfaen" w:hAnsi="Sylfaen" w:cs="Times New Roman"/>
          <w:lang w:val="ka-GE" w:eastAsia="ru-RU"/>
        </w:rPr>
        <w:t xml:space="preserve"> </w:t>
      </w:r>
      <w:r w:rsidR="004F256D">
        <w:rPr>
          <w:rFonts w:ascii="Sylfaen" w:hAnsi="Sylfaen" w:cs="Times New Roman"/>
          <w:lang w:val="ka-GE" w:eastAsia="ru-RU"/>
        </w:rPr>
        <w:t xml:space="preserve"> </w:t>
      </w:r>
      <w:r w:rsidR="00973C00">
        <w:rPr>
          <w:rFonts w:ascii="Sylfaen" w:hAnsi="Sylfaen" w:cs="Times New Roman"/>
          <w:lang w:val="ka-GE" w:eastAsia="ru-RU"/>
        </w:rPr>
        <w:t>პ/ნ:</w:t>
      </w:r>
      <w:r w:rsidR="00C137CF">
        <w:rPr>
          <w:rFonts w:ascii="Sylfaen" w:hAnsi="Sylfaen" w:cs="Times New Roman"/>
          <w:lang w:val="ka-GE" w:eastAsia="ru-RU"/>
        </w:rPr>
        <w:t xml:space="preserve"> </w:t>
      </w:r>
      <w:r w:rsidR="00C137CF">
        <w:rPr>
          <w:rFonts w:ascii="Sylfaen" w:hAnsi="Sylfaen" w:cs="Times New Roman"/>
          <w:lang w:val="ka-GE" w:eastAsia="ru-RU"/>
        </w:rPr>
        <w:t xml:space="preserve"> </w:t>
      </w:r>
      <w:r w:rsidR="00C137CF">
        <w:rPr>
          <w:rFonts w:ascii="Sylfaen" w:hAnsi="Sylfaen" w:cs="Times New Roman"/>
          <w:lang w:val="ka-GE" w:eastAsia="ru-RU"/>
        </w:rPr>
        <w:t>60002000839</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46071D00"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C7368"/>
    <w:rsid w:val="004D39B8"/>
    <w:rsid w:val="004F256D"/>
    <w:rsid w:val="00543AA0"/>
    <w:rsid w:val="00543AE0"/>
    <w:rsid w:val="005449F9"/>
    <w:rsid w:val="00553880"/>
    <w:rsid w:val="0056150A"/>
    <w:rsid w:val="005648C2"/>
    <w:rsid w:val="00595635"/>
    <w:rsid w:val="005E1DDE"/>
    <w:rsid w:val="005E2232"/>
    <w:rsid w:val="00635061"/>
    <w:rsid w:val="00683774"/>
    <w:rsid w:val="00690EF4"/>
    <w:rsid w:val="00692551"/>
    <w:rsid w:val="006A2189"/>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37127"/>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73C00"/>
    <w:rsid w:val="009E0580"/>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83529"/>
    <w:rsid w:val="00B9507A"/>
    <w:rsid w:val="00BC36EE"/>
    <w:rsid w:val="00BF7849"/>
    <w:rsid w:val="00C137CF"/>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2406</Words>
  <Characters>13716</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2016-09-07T15:54:00Z</cp:lastPrinted>
  <dcterms:created xsi:type="dcterms:W3CDTF">2020-07-09T06:25:00Z</dcterms:created>
  <dcterms:modified xsi:type="dcterms:W3CDTF">2020-07-09T06:25:00Z</dcterms:modified>
</cp:coreProperties>
</file>