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0A282" w14:textId="768D0A8F" w:rsidR="00C134D6" w:rsidRDefault="00AF6718" w:rsidP="000A67CB">
      <w:pPr>
        <w:pStyle w:val="Heading1"/>
      </w:pPr>
      <w:r>
        <w:t>Methods</w:t>
      </w:r>
    </w:p>
    <w:p w14:paraId="1BDAFACD" w14:textId="509F120F" w:rsidR="000A67CB" w:rsidRPr="000A67CB" w:rsidRDefault="000A67CB" w:rsidP="000A67CB">
      <w:pPr>
        <w:pStyle w:val="Heading2"/>
        <w:rPr>
          <w:lang w:val="en"/>
        </w:rPr>
      </w:pPr>
      <w:r>
        <w:rPr>
          <w:lang w:val="en"/>
        </w:rPr>
        <w:t>Stryke</w:t>
      </w:r>
    </w:p>
    <w:p w14:paraId="36CA5B71" w14:textId="12268800" w:rsidR="00AF6718" w:rsidRDefault="00AF6718">
      <w:r>
        <w:t xml:space="preserve">Kleinschmidt assessed whole project passage survival with </w:t>
      </w:r>
      <w:r w:rsidR="008B7197">
        <w:t>the</w:t>
      </w:r>
      <w:r>
        <w:t xml:space="preserve"> open source software package stryke</w:t>
      </w:r>
      <w:r>
        <w:rPr>
          <w:rStyle w:val="FootnoteReference"/>
        </w:rPr>
        <w:footnoteReference w:id="1"/>
      </w:r>
      <w:r>
        <w:t xml:space="preserve">.   Stryke is </w:t>
      </w:r>
      <w:r w:rsidR="00281D4C">
        <w:t xml:space="preserve">an individual based model (IBM), which follows the fate of a population of fish as they migrate past a hydroelectric project.  Movement and survival are simulated with Monte Carlo methods.  The software is written </w:t>
      </w:r>
      <w:r>
        <w:t xml:space="preserve">in Python 3.7.x and </w:t>
      </w:r>
      <w:r w:rsidR="00281D4C">
        <w:t>utilizes SQLite</w:t>
      </w:r>
      <w:r w:rsidR="00281D4C">
        <w:rPr>
          <w:rStyle w:val="FootnoteReference"/>
        </w:rPr>
        <w:footnoteReference w:id="2"/>
      </w:r>
      <w:r w:rsidR="00281D4C">
        <w:t xml:space="preserve"> for data management, Networkx</w:t>
      </w:r>
      <w:r w:rsidR="00281D4C">
        <w:rPr>
          <w:rStyle w:val="FootnoteReference"/>
        </w:rPr>
        <w:footnoteReference w:id="3"/>
      </w:r>
      <w:r w:rsidR="00281D4C">
        <w:t xml:space="preserve"> to simulate routes of passage, and Numpy</w:t>
      </w:r>
      <w:r w:rsidR="009D3DDF">
        <w:rPr>
          <w:rStyle w:val="FootnoteReference"/>
        </w:rPr>
        <w:footnoteReference w:id="4"/>
      </w:r>
      <w:r w:rsidR="009D3DDF">
        <w:t xml:space="preserve"> </w:t>
      </w:r>
      <w:r w:rsidR="00281D4C">
        <w:t xml:space="preserve">for pseudo-random probability distribution </w:t>
      </w:r>
      <w:r w:rsidR="0033062D">
        <w:t>draws</w:t>
      </w:r>
      <w:r w:rsidR="00281D4C">
        <w:t xml:space="preserve">.  </w:t>
      </w:r>
      <w:r w:rsidR="007B7703">
        <w:t>Kleinschmidt has validated stryke with the USFWS blade strike simulation tool</w:t>
      </w:r>
      <w:r w:rsidR="0027385E">
        <w:rPr>
          <w:rStyle w:val="FootnoteReference"/>
        </w:rPr>
        <w:footnoteReference w:id="5"/>
      </w:r>
      <w:r w:rsidR="00454066">
        <w:t>.  Most importantly, stryke is scalable</w:t>
      </w:r>
      <w:r w:rsidR="000A507C">
        <w:t>; i</w:t>
      </w:r>
      <w:r w:rsidR="001E32E8">
        <w:t>t is possible to model c</w:t>
      </w:r>
      <w:r w:rsidR="0020162F">
        <w:t xml:space="preserve">omplex movement </w:t>
      </w:r>
      <w:r w:rsidR="001E32E8">
        <w:t>through multiple facilities</w:t>
      </w:r>
      <w:r w:rsidR="00ED13B1">
        <w:t xml:space="preserve"> and</w:t>
      </w:r>
      <w:r w:rsidR="001E32E8">
        <w:t xml:space="preserve"> incorporate effects of migratory delay</w:t>
      </w:r>
      <w:r w:rsidR="00ED13B1">
        <w:t xml:space="preserve">.  </w:t>
      </w:r>
    </w:p>
    <w:p w14:paraId="0A6A66F0" w14:textId="786AB8B1" w:rsidR="0033062D" w:rsidRDefault="0033062D" w:rsidP="0033062D">
      <w:r>
        <w:t xml:space="preserve">Fish move through a hydroelectric project where migratory routes are described with a directed acyclic graph. Fish are obligated downstream migrants. </w:t>
      </w:r>
      <w:r w:rsidR="007C7C2D">
        <w:t>If fish</w:t>
      </w:r>
      <w:r>
        <w:t xml:space="preserve"> survive their current node</w:t>
      </w:r>
      <w:r w:rsidR="007C7C2D">
        <w:t xml:space="preserve">, </w:t>
      </w:r>
      <w:r>
        <w:t>they can move to the next one in the graph. If there is more than one node available at their current location, then a Monte-Carlo role of the dice and</w:t>
      </w:r>
      <w:r w:rsidR="002F2C82">
        <w:rPr>
          <w:i/>
          <w:iCs/>
        </w:rPr>
        <w:t xml:space="preserve"> a </w:t>
      </w:r>
      <w:r w:rsidRPr="0033062D">
        <w:rPr>
          <w:i/>
          <w:iCs/>
        </w:rPr>
        <w:t>priori</w:t>
      </w:r>
      <w:r>
        <w:t xml:space="preserve"> determined transition probabilities control their movement. The simulation ends for a fish when it arrives at the last node in the migratory network or dies.</w:t>
      </w:r>
    </w:p>
    <w:p w14:paraId="08970F4A" w14:textId="31D22557" w:rsidR="00281D4C" w:rsidRDefault="00281D4C" w:rsidP="00281D4C">
      <w:r>
        <w:t xml:space="preserve">For fish passing via entrainment, individuals are exposed to turbine strike, which is modeled with the Franke et. al. 1997 equations. For fish that pass via passage structures or spill, mortality is assessed with a roll of the dice using survival metrics determined </w:t>
      </w:r>
      <w:r w:rsidRPr="002F2C82">
        <w:rPr>
          <w:i/>
          <w:iCs/>
        </w:rPr>
        <w:t>a priori</w:t>
      </w:r>
      <w:r>
        <w:t>, sourced from similar studies, or via expert opinion. The Franke et al. equations calculate the probability a fish of a given length will get struck by a turbine runner blade. Essentially, if we know how long a given fish is, the velocity of the water as it travels through the turbine, the type of turbine, how many blades and how fast it is rotating, we can calculate</w:t>
      </w:r>
      <w:r w:rsidR="0033062D">
        <w:t>,</w:t>
      </w:r>
      <w:r>
        <w:t xml:space="preserve"> with certainty</w:t>
      </w:r>
      <w:r w:rsidR="0033062D">
        <w:t>,</w:t>
      </w:r>
      <w:r>
        <w:t xml:space="preserve"> the probability of being struck.</w:t>
      </w:r>
      <w:r w:rsidR="0033062D">
        <w:t xml:space="preserve">  For simplicity, we assume that all blade strikes result in death.  </w:t>
      </w:r>
    </w:p>
    <w:p w14:paraId="263249F3" w14:textId="5623BC9C" w:rsidR="00281D4C" w:rsidRDefault="0087054D" w:rsidP="0087054D">
      <w:pPr>
        <w:pStyle w:val="Heading2"/>
      </w:pPr>
      <w:r>
        <w:lastRenderedPageBreak/>
        <w:t>Turbine Parameters</w:t>
      </w:r>
    </w:p>
    <w:p w14:paraId="42CBB124" w14:textId="13F5F0B3" w:rsidR="00B311A8" w:rsidRDefault="00561A7D" w:rsidP="00B311A8">
      <w:pPr>
        <w:pStyle w:val="BodyText"/>
      </w:pPr>
      <w:r w:rsidRPr="00CE1ACE">
        <w:t xml:space="preserve">The blade strike models derived by Franke et al. (1997) require accurate measurements of a suite of turbine parameters. The generating units at the Project are </w:t>
      </w:r>
      <w:r w:rsidR="00286361">
        <w:t>four Kaplan turbines</w:t>
      </w:r>
      <w:r w:rsidR="00D15A9E">
        <w:t xml:space="preserve"> of </w:t>
      </w:r>
      <w:r w:rsidR="00207DA9">
        <w:t>similar design</w:t>
      </w:r>
      <w:r w:rsidR="00595CEA">
        <w:t xml:space="preserve"> (U1-U4)</w:t>
      </w:r>
      <w:r w:rsidR="00286361">
        <w:t xml:space="preserve"> and a smaller Kaplan</w:t>
      </w:r>
      <w:r w:rsidR="001D4710">
        <w:t xml:space="preserve"> designed</w:t>
      </w:r>
      <w:r w:rsidR="00286361">
        <w:t xml:space="preserve"> for </w:t>
      </w:r>
      <w:r w:rsidR="00454036">
        <w:t>min flow releases</w:t>
      </w:r>
      <w:r w:rsidR="00595CEA">
        <w:t xml:space="preserve"> (U5)</w:t>
      </w:r>
      <w:r w:rsidRPr="00CE1ACE">
        <w:t xml:space="preserve">. </w:t>
      </w:r>
      <w:r>
        <w:t>R</w:t>
      </w:r>
      <w:r w:rsidRPr="00CE1ACE">
        <w:t>equire</w:t>
      </w:r>
      <w:r>
        <w:t>d inputs for t</w:t>
      </w:r>
      <w:r w:rsidRPr="00CE1ACE">
        <w:t>he blade strike model</w:t>
      </w:r>
      <w:r>
        <w:t xml:space="preserve"> include</w:t>
      </w:r>
      <w:r w:rsidRPr="00CE1ACE">
        <w:t>: rated turbine head (ft), estimated maximum discharge (cfs), discharge at maximum efficiency (cfs), percent discharge at maximum efficiency, runner speed (</w:t>
      </w:r>
      <w:r>
        <w:t xml:space="preserve">rotations per minute, </w:t>
      </w:r>
      <w:r w:rsidRPr="00CE1ACE">
        <w:t>rpm), runner diameter (</w:t>
      </w:r>
      <w:r w:rsidR="00FB210D">
        <w:t>ft</w:t>
      </w:r>
      <w:r w:rsidRPr="00CE1ACE">
        <w:t>), runner diameter (</w:t>
      </w:r>
      <w:r w:rsidR="00FB210D">
        <w:t>ft</w:t>
      </w:r>
      <w:r w:rsidRPr="00CE1ACE">
        <w:t>), number of blades,</w:t>
      </w:r>
      <w:r w:rsidR="00FB210D">
        <w:t xml:space="preserve"> and</w:t>
      </w:r>
      <w:r w:rsidRPr="00CE1ACE">
        <w:t xml:space="preserve"> turbine efficiency (nameplate). These parameters were used to develop an initial blade strike model </w:t>
      </w:r>
      <w:r w:rsidR="00C24225">
        <w:t>at</w:t>
      </w:r>
      <w:r w:rsidR="00356BD4">
        <w:t xml:space="preserve"> units 1-4 and unit </w:t>
      </w:r>
      <w:r w:rsidR="00806C0A">
        <w:t xml:space="preserve">5 </w:t>
      </w:r>
      <w:r w:rsidR="00806C0A">
        <w:t xml:space="preserve">(Table 1) </w:t>
      </w:r>
      <w:r w:rsidR="00C24225">
        <w:t>for</w:t>
      </w:r>
      <w:r w:rsidRPr="00CE1ACE">
        <w:t xml:space="preserve"> </w:t>
      </w:r>
      <w:r w:rsidR="00B311A8">
        <w:t xml:space="preserve">a suite of species </w:t>
      </w:r>
      <w:r w:rsidR="002C57BA">
        <w:t xml:space="preserve">at </w:t>
      </w:r>
      <w:r w:rsidR="00C24225">
        <w:t>Cornell</w:t>
      </w:r>
      <w:r w:rsidR="002C57BA">
        <w:t xml:space="preserve">.  </w:t>
      </w:r>
    </w:p>
    <w:p w14:paraId="4389FE9E" w14:textId="0D132036" w:rsidR="00814771" w:rsidRPr="00CE1ACE" w:rsidRDefault="00814771" w:rsidP="00814771">
      <w:pPr>
        <w:pStyle w:val="Caption"/>
      </w:pPr>
      <w:bookmarkStart w:id="0" w:name="_Ref500495741"/>
      <w:bookmarkStart w:id="1" w:name="_Toc500497300"/>
      <w:r w:rsidRPr="00CE1ACE">
        <w:t xml:space="preserve">Table </w:t>
      </w:r>
      <w:fldSimple w:instr=" SEQ Table \* ARABIC ">
        <w:r w:rsidR="004C53DA">
          <w:rPr>
            <w:noProof/>
          </w:rPr>
          <w:t>1</w:t>
        </w:r>
      </w:fldSimple>
      <w:bookmarkEnd w:id="0"/>
      <w:r w:rsidRPr="00CE1ACE">
        <w:tab/>
      </w:r>
      <w:r w:rsidR="0064728F">
        <w:t>Cornell</w:t>
      </w:r>
      <w:r w:rsidRPr="00CE1ACE">
        <w:t xml:space="preserve"> </w:t>
      </w:r>
      <w:r w:rsidR="00806C0A">
        <w:t xml:space="preserve">Kaplan </w:t>
      </w:r>
      <w:r w:rsidRPr="00CE1ACE">
        <w:t>Unit</w:t>
      </w:r>
      <w:r w:rsidR="0064728F">
        <w:t xml:space="preserve"> </w:t>
      </w:r>
      <w:r w:rsidRPr="00CE1ACE">
        <w:t>Parameters</w:t>
      </w:r>
      <w:bookmarkEnd w:id="1"/>
    </w:p>
    <w:tbl>
      <w:tblPr>
        <w:tblStyle w:val="TableGrid"/>
        <w:tblW w:w="9081" w:type="dxa"/>
        <w:tblInd w:w="0" w:type="dxa"/>
        <w:tblLook w:val="04A0" w:firstRow="1" w:lastRow="0" w:firstColumn="1" w:lastColumn="0" w:noHBand="0" w:noVBand="1"/>
      </w:tblPr>
      <w:tblGrid>
        <w:gridCol w:w="4002"/>
        <w:gridCol w:w="1804"/>
        <w:gridCol w:w="1065"/>
        <w:gridCol w:w="1151"/>
        <w:gridCol w:w="1059"/>
      </w:tblGrid>
      <w:tr w:rsidR="00806C0A" w:rsidRPr="00CE1ACE" w14:paraId="2FBF9DA5" w14:textId="4E12DC5A" w:rsidTr="00806C0A">
        <w:trPr>
          <w:trHeight w:val="356"/>
        </w:trPr>
        <w:tc>
          <w:tcPr>
            <w:tcW w:w="4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F9CA8B" w14:textId="77777777" w:rsidR="00806C0A" w:rsidRPr="00CE1ACE" w:rsidRDefault="00806C0A" w:rsidP="00FA0226">
            <w:pPr>
              <w:pStyle w:val="BodyText"/>
              <w:spacing w:line="240" w:lineRule="auto"/>
              <w:jc w:val="center"/>
              <w:rPr>
                <w:rFonts w:ascii="Times New Roman Bold" w:hAnsi="Times New Roman Bold"/>
                <w:b/>
                <w:smallCaps/>
              </w:rPr>
            </w:pPr>
            <w:bookmarkStart w:id="2" w:name="_Hlk75788113"/>
            <w:r w:rsidRPr="00CE1ACE">
              <w:rPr>
                <w:rFonts w:ascii="Times New Roman Bold" w:hAnsi="Times New Roman Bold"/>
                <w:b/>
                <w:smallCaps/>
              </w:rPr>
              <w:t>Parameter</w:t>
            </w:r>
          </w:p>
        </w:tc>
        <w:tc>
          <w:tcPr>
            <w:tcW w:w="1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2A5C56" w14:textId="3BE73712" w:rsidR="00806C0A" w:rsidRDefault="00806C0A" w:rsidP="00FA0226">
            <w:pPr>
              <w:pStyle w:val="BodyText"/>
              <w:spacing w:line="240" w:lineRule="auto"/>
              <w:jc w:val="center"/>
              <w:rPr>
                <w:rFonts w:ascii="Times New Roman Bold" w:hAnsi="Times New Roman Bold"/>
                <w:b/>
                <w:smallCaps/>
              </w:rPr>
            </w:pPr>
            <w:r>
              <w:rPr>
                <w:rFonts w:ascii="Times New Roman Bold" w:hAnsi="Times New Roman Bold"/>
                <w:b/>
                <w:smallCaps/>
              </w:rPr>
              <w:t>Symbol</w:t>
            </w:r>
          </w:p>
        </w:tc>
        <w:tc>
          <w:tcPr>
            <w:tcW w:w="1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A6512C" w14:textId="04A19E0C" w:rsidR="00806C0A" w:rsidRDefault="00806C0A" w:rsidP="00FA0226">
            <w:pPr>
              <w:pStyle w:val="BodyText"/>
              <w:spacing w:line="240" w:lineRule="auto"/>
              <w:jc w:val="center"/>
              <w:rPr>
                <w:rFonts w:ascii="Times New Roman Bold" w:hAnsi="Times New Roman Bold"/>
                <w:b/>
                <w:smallCaps/>
              </w:rPr>
            </w:pPr>
            <w:r>
              <w:rPr>
                <w:rFonts w:ascii="Times New Roman Bold" w:hAnsi="Times New Roman Bold"/>
                <w:b/>
                <w:smallCaps/>
              </w:rPr>
              <w:t>Units</w:t>
            </w:r>
          </w:p>
        </w:tc>
        <w:tc>
          <w:tcPr>
            <w:tcW w:w="1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DBF37D" w14:textId="5BCF2AB5" w:rsidR="00806C0A" w:rsidRPr="00CE1ACE" w:rsidRDefault="00806C0A" w:rsidP="00FA0226">
            <w:pPr>
              <w:pStyle w:val="BodyText"/>
              <w:spacing w:line="240" w:lineRule="auto"/>
              <w:jc w:val="center"/>
              <w:rPr>
                <w:rFonts w:ascii="Times New Roman Bold" w:hAnsi="Times New Roman Bold"/>
                <w:b/>
                <w:smallCaps/>
              </w:rPr>
            </w:pPr>
            <w:r>
              <w:rPr>
                <w:rFonts w:ascii="Times New Roman Bold" w:hAnsi="Times New Roman Bold"/>
                <w:b/>
                <w:smallCaps/>
              </w:rPr>
              <w:t>U1-U4</w:t>
            </w:r>
          </w:p>
        </w:tc>
        <w:tc>
          <w:tcPr>
            <w:tcW w:w="1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9C5545" w14:textId="70D20E56" w:rsidR="00806C0A" w:rsidRDefault="00806C0A" w:rsidP="00FA0226">
            <w:pPr>
              <w:pStyle w:val="BodyText"/>
              <w:spacing w:line="240" w:lineRule="auto"/>
              <w:jc w:val="center"/>
              <w:rPr>
                <w:rFonts w:ascii="Times New Roman Bold" w:hAnsi="Times New Roman Bold"/>
                <w:b/>
                <w:smallCaps/>
              </w:rPr>
            </w:pPr>
            <w:r>
              <w:rPr>
                <w:rFonts w:ascii="Times New Roman Bold" w:hAnsi="Times New Roman Bold"/>
                <w:b/>
                <w:smallCaps/>
              </w:rPr>
              <w:t>U5</w:t>
            </w:r>
          </w:p>
        </w:tc>
      </w:tr>
      <w:tr w:rsidR="00806C0A" w:rsidRPr="00CE1ACE" w14:paraId="69BF145B" w14:textId="459BD778" w:rsidTr="00806C0A">
        <w:trPr>
          <w:trHeight w:val="80"/>
        </w:trPr>
        <w:tc>
          <w:tcPr>
            <w:tcW w:w="4002" w:type="dxa"/>
            <w:tcBorders>
              <w:top w:val="single" w:sz="4" w:space="0" w:color="auto"/>
              <w:left w:val="single" w:sz="4" w:space="0" w:color="auto"/>
              <w:bottom w:val="single" w:sz="4" w:space="0" w:color="auto"/>
              <w:right w:val="single" w:sz="4" w:space="0" w:color="auto"/>
            </w:tcBorders>
            <w:hideMark/>
          </w:tcPr>
          <w:p w14:paraId="0552DAE9" w14:textId="2BF096E4" w:rsidR="00806C0A" w:rsidRPr="00CE1ACE" w:rsidRDefault="00806C0A" w:rsidP="00806C0A">
            <w:pPr>
              <w:pStyle w:val="BodyText"/>
              <w:spacing w:line="240" w:lineRule="auto"/>
            </w:pPr>
            <w:r w:rsidRPr="00CE1ACE">
              <w:t xml:space="preserve">Rated Turbine Head </w:t>
            </w:r>
          </w:p>
        </w:tc>
        <w:tc>
          <w:tcPr>
            <w:tcW w:w="1804" w:type="dxa"/>
            <w:tcBorders>
              <w:top w:val="single" w:sz="4" w:space="0" w:color="auto"/>
              <w:left w:val="single" w:sz="4" w:space="0" w:color="auto"/>
              <w:bottom w:val="single" w:sz="4" w:space="0" w:color="auto"/>
              <w:right w:val="single" w:sz="4" w:space="0" w:color="auto"/>
            </w:tcBorders>
          </w:tcPr>
          <w:p w14:paraId="7D730C70" w14:textId="481E5367" w:rsidR="00806C0A" w:rsidRDefault="00806C0A" w:rsidP="00806C0A">
            <w:pPr>
              <w:pStyle w:val="BodyText"/>
              <w:spacing w:line="240" w:lineRule="auto"/>
              <w:jc w:val="center"/>
            </w:pPr>
            <m:oMathPara>
              <m:oMath>
                <m:r>
                  <w:rPr>
                    <w:rFonts w:ascii="Cambria Math" w:hAnsi="Cambria Math"/>
                  </w:rPr>
                  <m:t>H</m:t>
                </m:r>
              </m:oMath>
            </m:oMathPara>
          </w:p>
        </w:tc>
        <w:tc>
          <w:tcPr>
            <w:tcW w:w="1065" w:type="dxa"/>
            <w:tcBorders>
              <w:top w:val="single" w:sz="4" w:space="0" w:color="auto"/>
              <w:left w:val="single" w:sz="4" w:space="0" w:color="auto"/>
              <w:bottom w:val="single" w:sz="4" w:space="0" w:color="auto"/>
              <w:right w:val="single" w:sz="4" w:space="0" w:color="auto"/>
            </w:tcBorders>
          </w:tcPr>
          <w:p w14:paraId="42F76810" w14:textId="6A7A6F92" w:rsidR="00806C0A" w:rsidRDefault="00806C0A" w:rsidP="00806C0A">
            <w:pPr>
              <w:pStyle w:val="BodyText"/>
              <w:spacing w:line="240" w:lineRule="auto"/>
              <w:jc w:val="center"/>
            </w:pPr>
            <w:r>
              <w:t>ft</w:t>
            </w:r>
          </w:p>
        </w:tc>
        <w:tc>
          <w:tcPr>
            <w:tcW w:w="1151" w:type="dxa"/>
            <w:tcBorders>
              <w:top w:val="single" w:sz="4" w:space="0" w:color="auto"/>
              <w:left w:val="single" w:sz="4" w:space="0" w:color="auto"/>
              <w:bottom w:val="single" w:sz="4" w:space="0" w:color="auto"/>
              <w:right w:val="single" w:sz="4" w:space="0" w:color="auto"/>
            </w:tcBorders>
          </w:tcPr>
          <w:p w14:paraId="56A4C5C7" w14:textId="351D5FF7" w:rsidR="00806C0A" w:rsidRPr="00CE1ACE" w:rsidRDefault="00806C0A" w:rsidP="00806C0A">
            <w:pPr>
              <w:pStyle w:val="BodyText"/>
              <w:spacing w:line="240" w:lineRule="auto"/>
              <w:jc w:val="center"/>
            </w:pPr>
            <w:r>
              <w:t>37</w:t>
            </w:r>
          </w:p>
        </w:tc>
        <w:tc>
          <w:tcPr>
            <w:tcW w:w="1059" w:type="dxa"/>
            <w:tcBorders>
              <w:top w:val="single" w:sz="4" w:space="0" w:color="auto"/>
              <w:left w:val="single" w:sz="4" w:space="0" w:color="auto"/>
              <w:bottom w:val="single" w:sz="4" w:space="0" w:color="auto"/>
              <w:right w:val="single" w:sz="4" w:space="0" w:color="auto"/>
            </w:tcBorders>
          </w:tcPr>
          <w:p w14:paraId="06A5FAB4" w14:textId="3E4C3F26" w:rsidR="00806C0A" w:rsidRDefault="00806C0A" w:rsidP="00806C0A">
            <w:pPr>
              <w:pStyle w:val="BodyText"/>
              <w:spacing w:line="240" w:lineRule="auto"/>
              <w:jc w:val="center"/>
            </w:pPr>
            <w:r>
              <w:t>37</w:t>
            </w:r>
          </w:p>
        </w:tc>
      </w:tr>
      <w:tr w:rsidR="00806C0A" w:rsidRPr="00CE1ACE" w14:paraId="64B58F04" w14:textId="3E95918C" w:rsidTr="00806C0A">
        <w:trPr>
          <w:trHeight w:val="80"/>
        </w:trPr>
        <w:tc>
          <w:tcPr>
            <w:tcW w:w="4002" w:type="dxa"/>
            <w:tcBorders>
              <w:top w:val="single" w:sz="4" w:space="0" w:color="auto"/>
              <w:left w:val="single" w:sz="4" w:space="0" w:color="auto"/>
              <w:bottom w:val="single" w:sz="4" w:space="0" w:color="auto"/>
              <w:right w:val="single" w:sz="4" w:space="0" w:color="auto"/>
            </w:tcBorders>
            <w:hideMark/>
          </w:tcPr>
          <w:p w14:paraId="627CD81B" w14:textId="7B1C8C1E" w:rsidR="00806C0A" w:rsidRPr="00CE1ACE" w:rsidRDefault="00806C0A" w:rsidP="00806C0A">
            <w:pPr>
              <w:pStyle w:val="BodyText"/>
              <w:spacing w:line="240" w:lineRule="auto"/>
            </w:pPr>
            <w:r w:rsidRPr="00CE1ACE">
              <w:t xml:space="preserve">Max. Discharge </w:t>
            </w:r>
          </w:p>
        </w:tc>
        <w:tc>
          <w:tcPr>
            <w:tcW w:w="1804" w:type="dxa"/>
            <w:tcBorders>
              <w:top w:val="single" w:sz="4" w:space="0" w:color="auto"/>
              <w:left w:val="single" w:sz="4" w:space="0" w:color="auto"/>
              <w:bottom w:val="single" w:sz="4" w:space="0" w:color="auto"/>
              <w:right w:val="single" w:sz="4" w:space="0" w:color="auto"/>
            </w:tcBorders>
          </w:tcPr>
          <w:p w14:paraId="01F9A664" w14:textId="04EED89C" w:rsidR="00806C0A" w:rsidRDefault="00806C0A" w:rsidP="00806C0A">
            <w:pPr>
              <w:pStyle w:val="BodyText"/>
              <w:spacing w:line="240" w:lineRule="auto"/>
              <w:jc w:val="center"/>
            </w:pPr>
            <m:oMathPara>
              <m:oMath>
                <m:r>
                  <w:rPr>
                    <w:rFonts w:ascii="Cambria Math" w:hAnsi="Cambria Math"/>
                  </w:rPr>
                  <m:t>Q</m:t>
                </m:r>
              </m:oMath>
            </m:oMathPara>
          </w:p>
        </w:tc>
        <w:tc>
          <w:tcPr>
            <w:tcW w:w="1065" w:type="dxa"/>
            <w:tcBorders>
              <w:top w:val="single" w:sz="4" w:space="0" w:color="auto"/>
              <w:left w:val="single" w:sz="4" w:space="0" w:color="auto"/>
              <w:bottom w:val="single" w:sz="4" w:space="0" w:color="auto"/>
              <w:right w:val="single" w:sz="4" w:space="0" w:color="auto"/>
            </w:tcBorders>
          </w:tcPr>
          <w:p w14:paraId="763904CA" w14:textId="70106111" w:rsidR="00806C0A" w:rsidRDefault="00806C0A" w:rsidP="00806C0A">
            <w:pPr>
              <w:pStyle w:val="BodyText"/>
              <w:spacing w:line="240" w:lineRule="auto"/>
              <w:jc w:val="center"/>
            </w:pPr>
            <w:r>
              <w:t>cfs</w:t>
            </w:r>
          </w:p>
        </w:tc>
        <w:tc>
          <w:tcPr>
            <w:tcW w:w="1151" w:type="dxa"/>
            <w:tcBorders>
              <w:top w:val="single" w:sz="4" w:space="0" w:color="auto"/>
              <w:left w:val="single" w:sz="4" w:space="0" w:color="auto"/>
              <w:bottom w:val="single" w:sz="4" w:space="0" w:color="auto"/>
              <w:right w:val="single" w:sz="4" w:space="0" w:color="auto"/>
            </w:tcBorders>
          </w:tcPr>
          <w:p w14:paraId="6A7B692F" w14:textId="229982BB" w:rsidR="00806C0A" w:rsidRPr="00CE1ACE" w:rsidRDefault="00806C0A" w:rsidP="00806C0A">
            <w:pPr>
              <w:pStyle w:val="BodyText"/>
              <w:spacing w:line="240" w:lineRule="auto"/>
              <w:jc w:val="center"/>
            </w:pPr>
            <w:r>
              <w:t>4200</w:t>
            </w:r>
          </w:p>
        </w:tc>
        <w:tc>
          <w:tcPr>
            <w:tcW w:w="1059" w:type="dxa"/>
            <w:tcBorders>
              <w:top w:val="single" w:sz="4" w:space="0" w:color="auto"/>
              <w:left w:val="single" w:sz="4" w:space="0" w:color="auto"/>
              <w:bottom w:val="single" w:sz="4" w:space="0" w:color="auto"/>
              <w:right w:val="single" w:sz="4" w:space="0" w:color="auto"/>
            </w:tcBorders>
          </w:tcPr>
          <w:p w14:paraId="0AFD83E0" w14:textId="0E1F5FE3" w:rsidR="00806C0A" w:rsidRDefault="00806C0A" w:rsidP="00806C0A">
            <w:pPr>
              <w:pStyle w:val="BodyText"/>
              <w:spacing w:line="240" w:lineRule="auto"/>
              <w:jc w:val="center"/>
            </w:pPr>
            <w:r>
              <w:t>400</w:t>
            </w:r>
          </w:p>
        </w:tc>
      </w:tr>
      <w:tr w:rsidR="00806C0A" w:rsidRPr="00CE1ACE" w14:paraId="64109C2F" w14:textId="44A2B1FA" w:rsidTr="00806C0A">
        <w:trPr>
          <w:trHeight w:val="80"/>
        </w:trPr>
        <w:tc>
          <w:tcPr>
            <w:tcW w:w="4002" w:type="dxa"/>
            <w:tcBorders>
              <w:top w:val="single" w:sz="4" w:space="0" w:color="auto"/>
              <w:left w:val="single" w:sz="4" w:space="0" w:color="auto"/>
              <w:bottom w:val="single" w:sz="4" w:space="0" w:color="auto"/>
              <w:right w:val="single" w:sz="4" w:space="0" w:color="auto"/>
            </w:tcBorders>
            <w:hideMark/>
          </w:tcPr>
          <w:p w14:paraId="243C7907" w14:textId="68FC98F4" w:rsidR="00806C0A" w:rsidRPr="00CE1ACE" w:rsidRDefault="00806C0A" w:rsidP="00806C0A">
            <w:pPr>
              <w:pStyle w:val="BodyText"/>
              <w:spacing w:line="240" w:lineRule="auto"/>
            </w:pPr>
            <w:r w:rsidRPr="00CE1ACE">
              <w:t xml:space="preserve">Efficient Discharge </w:t>
            </w:r>
          </w:p>
        </w:tc>
        <w:tc>
          <w:tcPr>
            <w:tcW w:w="1804" w:type="dxa"/>
            <w:tcBorders>
              <w:top w:val="single" w:sz="4" w:space="0" w:color="auto"/>
              <w:left w:val="single" w:sz="4" w:space="0" w:color="auto"/>
              <w:bottom w:val="single" w:sz="4" w:space="0" w:color="auto"/>
              <w:right w:val="single" w:sz="4" w:space="0" w:color="auto"/>
            </w:tcBorders>
          </w:tcPr>
          <w:p w14:paraId="059AB3A2" w14:textId="7F9F1F15" w:rsidR="00806C0A" w:rsidRDefault="00806C0A" w:rsidP="00806C0A">
            <w:pPr>
              <w:pStyle w:val="BodyText"/>
              <w:spacing w:line="24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opt</m:t>
                    </m:r>
                  </m:sub>
                </m:sSub>
              </m:oMath>
            </m:oMathPara>
          </w:p>
        </w:tc>
        <w:tc>
          <w:tcPr>
            <w:tcW w:w="1065" w:type="dxa"/>
            <w:tcBorders>
              <w:top w:val="single" w:sz="4" w:space="0" w:color="auto"/>
              <w:left w:val="single" w:sz="4" w:space="0" w:color="auto"/>
              <w:bottom w:val="single" w:sz="4" w:space="0" w:color="auto"/>
              <w:right w:val="single" w:sz="4" w:space="0" w:color="auto"/>
            </w:tcBorders>
          </w:tcPr>
          <w:p w14:paraId="66B247CF" w14:textId="538E2246" w:rsidR="00806C0A" w:rsidRDefault="00806C0A" w:rsidP="00806C0A">
            <w:pPr>
              <w:pStyle w:val="BodyText"/>
              <w:spacing w:line="240" w:lineRule="auto"/>
              <w:jc w:val="center"/>
            </w:pPr>
            <w:r>
              <w:t>cfs</w:t>
            </w:r>
          </w:p>
        </w:tc>
        <w:tc>
          <w:tcPr>
            <w:tcW w:w="1151" w:type="dxa"/>
            <w:tcBorders>
              <w:top w:val="single" w:sz="4" w:space="0" w:color="auto"/>
              <w:left w:val="single" w:sz="4" w:space="0" w:color="auto"/>
              <w:bottom w:val="single" w:sz="4" w:space="0" w:color="auto"/>
              <w:right w:val="single" w:sz="4" w:space="0" w:color="auto"/>
            </w:tcBorders>
          </w:tcPr>
          <w:p w14:paraId="3EFBBC96" w14:textId="2C2D7370" w:rsidR="00806C0A" w:rsidRPr="00CE1ACE" w:rsidRDefault="00806C0A" w:rsidP="00806C0A">
            <w:pPr>
              <w:pStyle w:val="BodyText"/>
              <w:spacing w:line="240" w:lineRule="auto"/>
              <w:jc w:val="center"/>
            </w:pPr>
            <w:r>
              <w:t>3750</w:t>
            </w:r>
          </w:p>
        </w:tc>
        <w:tc>
          <w:tcPr>
            <w:tcW w:w="1059" w:type="dxa"/>
            <w:tcBorders>
              <w:top w:val="single" w:sz="4" w:space="0" w:color="auto"/>
              <w:left w:val="single" w:sz="4" w:space="0" w:color="auto"/>
              <w:bottom w:val="single" w:sz="4" w:space="0" w:color="auto"/>
              <w:right w:val="single" w:sz="4" w:space="0" w:color="auto"/>
            </w:tcBorders>
          </w:tcPr>
          <w:p w14:paraId="30929C89" w14:textId="64AE3B17" w:rsidR="00806C0A" w:rsidRDefault="00806C0A" w:rsidP="00806C0A">
            <w:pPr>
              <w:pStyle w:val="BodyText"/>
              <w:spacing w:line="240" w:lineRule="auto"/>
              <w:jc w:val="center"/>
            </w:pPr>
            <w:r>
              <w:t>360</w:t>
            </w:r>
          </w:p>
        </w:tc>
      </w:tr>
      <w:tr w:rsidR="00806C0A" w:rsidRPr="00CE1ACE" w14:paraId="1A3E6F95" w14:textId="0108A4DD" w:rsidTr="00806C0A">
        <w:trPr>
          <w:trHeight w:val="80"/>
        </w:trPr>
        <w:tc>
          <w:tcPr>
            <w:tcW w:w="4002" w:type="dxa"/>
            <w:tcBorders>
              <w:top w:val="single" w:sz="4" w:space="0" w:color="auto"/>
              <w:left w:val="single" w:sz="4" w:space="0" w:color="auto"/>
              <w:bottom w:val="single" w:sz="4" w:space="0" w:color="auto"/>
              <w:right w:val="single" w:sz="4" w:space="0" w:color="auto"/>
            </w:tcBorders>
            <w:hideMark/>
          </w:tcPr>
          <w:p w14:paraId="6C449555" w14:textId="77777777" w:rsidR="00806C0A" w:rsidRPr="00CE1ACE" w:rsidRDefault="00806C0A" w:rsidP="00806C0A">
            <w:pPr>
              <w:pStyle w:val="BodyText"/>
              <w:spacing w:line="240" w:lineRule="auto"/>
            </w:pPr>
            <w:r w:rsidRPr="00CE1ACE">
              <w:t xml:space="preserve">Percent Discharge at Max. Efficiency </w:t>
            </w:r>
          </w:p>
        </w:tc>
        <w:tc>
          <w:tcPr>
            <w:tcW w:w="1804" w:type="dxa"/>
            <w:tcBorders>
              <w:top w:val="single" w:sz="4" w:space="0" w:color="auto"/>
              <w:left w:val="single" w:sz="4" w:space="0" w:color="auto"/>
              <w:bottom w:val="single" w:sz="4" w:space="0" w:color="auto"/>
              <w:right w:val="single" w:sz="4" w:space="0" w:color="auto"/>
            </w:tcBorders>
          </w:tcPr>
          <w:p w14:paraId="24BBE0A8" w14:textId="77777777" w:rsidR="00806C0A" w:rsidRPr="00CE1ACE" w:rsidRDefault="00806C0A" w:rsidP="00806C0A">
            <w:pPr>
              <w:pStyle w:val="BodyText"/>
              <w:spacing w:line="240" w:lineRule="auto"/>
              <w:jc w:val="center"/>
            </w:pPr>
          </w:p>
        </w:tc>
        <w:tc>
          <w:tcPr>
            <w:tcW w:w="1065" w:type="dxa"/>
            <w:tcBorders>
              <w:top w:val="single" w:sz="4" w:space="0" w:color="auto"/>
              <w:left w:val="single" w:sz="4" w:space="0" w:color="auto"/>
              <w:bottom w:val="single" w:sz="4" w:space="0" w:color="auto"/>
              <w:right w:val="single" w:sz="4" w:space="0" w:color="auto"/>
            </w:tcBorders>
          </w:tcPr>
          <w:p w14:paraId="361732DE" w14:textId="77777777" w:rsidR="00806C0A" w:rsidRDefault="00806C0A" w:rsidP="00806C0A">
            <w:pPr>
              <w:pStyle w:val="BodyText"/>
              <w:spacing w:line="240" w:lineRule="auto"/>
              <w:jc w:val="center"/>
            </w:pPr>
          </w:p>
        </w:tc>
        <w:tc>
          <w:tcPr>
            <w:tcW w:w="1151" w:type="dxa"/>
            <w:tcBorders>
              <w:top w:val="single" w:sz="4" w:space="0" w:color="auto"/>
              <w:left w:val="single" w:sz="4" w:space="0" w:color="auto"/>
              <w:bottom w:val="single" w:sz="4" w:space="0" w:color="auto"/>
              <w:right w:val="single" w:sz="4" w:space="0" w:color="auto"/>
            </w:tcBorders>
          </w:tcPr>
          <w:p w14:paraId="1E21CB0D" w14:textId="3C3AC7FE" w:rsidR="00806C0A" w:rsidRPr="00CE1ACE" w:rsidRDefault="00806C0A" w:rsidP="00806C0A">
            <w:pPr>
              <w:pStyle w:val="BodyText"/>
              <w:spacing w:line="240" w:lineRule="auto"/>
              <w:jc w:val="center"/>
            </w:pPr>
            <w:r>
              <w:t>90%</w:t>
            </w:r>
          </w:p>
        </w:tc>
        <w:tc>
          <w:tcPr>
            <w:tcW w:w="1059" w:type="dxa"/>
            <w:tcBorders>
              <w:top w:val="single" w:sz="4" w:space="0" w:color="auto"/>
              <w:left w:val="single" w:sz="4" w:space="0" w:color="auto"/>
              <w:bottom w:val="single" w:sz="4" w:space="0" w:color="auto"/>
              <w:right w:val="single" w:sz="4" w:space="0" w:color="auto"/>
            </w:tcBorders>
          </w:tcPr>
          <w:p w14:paraId="43A96623" w14:textId="0B1DC0F8" w:rsidR="00806C0A" w:rsidRDefault="00806C0A" w:rsidP="00806C0A">
            <w:pPr>
              <w:pStyle w:val="BodyText"/>
              <w:spacing w:line="240" w:lineRule="auto"/>
              <w:jc w:val="center"/>
            </w:pPr>
            <w:r>
              <w:t>90%</w:t>
            </w:r>
          </w:p>
        </w:tc>
      </w:tr>
      <w:tr w:rsidR="00806C0A" w:rsidRPr="00CE1ACE" w14:paraId="3935DB75" w14:textId="15EAEDA3" w:rsidTr="00806C0A">
        <w:trPr>
          <w:trHeight w:val="80"/>
        </w:trPr>
        <w:tc>
          <w:tcPr>
            <w:tcW w:w="4002" w:type="dxa"/>
            <w:tcBorders>
              <w:top w:val="single" w:sz="4" w:space="0" w:color="auto"/>
              <w:left w:val="single" w:sz="4" w:space="0" w:color="auto"/>
              <w:bottom w:val="single" w:sz="4" w:space="0" w:color="auto"/>
              <w:right w:val="single" w:sz="4" w:space="0" w:color="auto"/>
            </w:tcBorders>
            <w:hideMark/>
          </w:tcPr>
          <w:p w14:paraId="703EC060" w14:textId="6555576D" w:rsidR="00806C0A" w:rsidRPr="00CE1ACE" w:rsidRDefault="00806C0A" w:rsidP="00806C0A">
            <w:pPr>
              <w:pStyle w:val="BodyText"/>
              <w:spacing w:line="240" w:lineRule="auto"/>
            </w:pPr>
            <w:r w:rsidRPr="00CE1ACE">
              <w:t xml:space="preserve">Runner Speed </w:t>
            </w:r>
          </w:p>
        </w:tc>
        <w:tc>
          <w:tcPr>
            <w:tcW w:w="1804" w:type="dxa"/>
            <w:tcBorders>
              <w:top w:val="single" w:sz="4" w:space="0" w:color="auto"/>
              <w:left w:val="single" w:sz="4" w:space="0" w:color="auto"/>
              <w:bottom w:val="single" w:sz="4" w:space="0" w:color="auto"/>
              <w:right w:val="single" w:sz="4" w:space="0" w:color="auto"/>
            </w:tcBorders>
          </w:tcPr>
          <w:p w14:paraId="6553282A" w14:textId="1BC62E99" w:rsidR="00806C0A" w:rsidRDefault="00806C0A" w:rsidP="00806C0A">
            <w:pPr>
              <w:pStyle w:val="BodyText"/>
              <w:spacing w:line="240" w:lineRule="auto"/>
              <w:jc w:val="center"/>
            </w:pPr>
            <m:oMathPara>
              <m:oMath>
                <m:r>
                  <w:rPr>
                    <w:rFonts w:ascii="Cambria Math" w:hAnsi="Cambria Math"/>
                  </w:rPr>
                  <m:t>ω=RPM*</m:t>
                </m:r>
                <m:f>
                  <m:fPr>
                    <m:ctrlPr>
                      <w:rPr>
                        <w:rFonts w:ascii="Cambria Math" w:hAnsi="Cambria Math"/>
                        <w:i/>
                      </w:rPr>
                    </m:ctrlPr>
                  </m:fPr>
                  <m:num>
                    <m:r>
                      <w:rPr>
                        <w:rFonts w:ascii="Cambria Math" w:hAnsi="Cambria Math"/>
                      </w:rPr>
                      <m:t>2π</m:t>
                    </m:r>
                  </m:num>
                  <m:den>
                    <m:r>
                      <w:rPr>
                        <w:rFonts w:ascii="Cambria Math" w:hAnsi="Cambria Math"/>
                      </w:rPr>
                      <m:t>60</m:t>
                    </m:r>
                  </m:den>
                </m:f>
              </m:oMath>
            </m:oMathPara>
          </w:p>
        </w:tc>
        <w:tc>
          <w:tcPr>
            <w:tcW w:w="1065" w:type="dxa"/>
            <w:tcBorders>
              <w:top w:val="single" w:sz="4" w:space="0" w:color="auto"/>
              <w:left w:val="single" w:sz="4" w:space="0" w:color="auto"/>
              <w:bottom w:val="single" w:sz="4" w:space="0" w:color="auto"/>
              <w:right w:val="single" w:sz="4" w:space="0" w:color="auto"/>
            </w:tcBorders>
          </w:tcPr>
          <w:p w14:paraId="42EC194E" w14:textId="19E42184" w:rsidR="00806C0A" w:rsidRDefault="00806C0A" w:rsidP="00806C0A">
            <w:pPr>
              <w:pStyle w:val="BodyText"/>
              <w:spacing w:line="240" w:lineRule="auto"/>
              <w:jc w:val="center"/>
            </w:pPr>
            <w:r>
              <w:t>RPM</w:t>
            </w:r>
          </w:p>
        </w:tc>
        <w:tc>
          <w:tcPr>
            <w:tcW w:w="1151" w:type="dxa"/>
            <w:tcBorders>
              <w:top w:val="single" w:sz="4" w:space="0" w:color="auto"/>
              <w:left w:val="single" w:sz="4" w:space="0" w:color="auto"/>
              <w:bottom w:val="single" w:sz="4" w:space="0" w:color="auto"/>
              <w:right w:val="single" w:sz="4" w:space="0" w:color="auto"/>
            </w:tcBorders>
          </w:tcPr>
          <w:p w14:paraId="32672686" w14:textId="46158715" w:rsidR="00806C0A" w:rsidRPr="00CE1ACE" w:rsidRDefault="00806C0A" w:rsidP="00806C0A">
            <w:pPr>
              <w:pStyle w:val="BodyText"/>
              <w:spacing w:line="240" w:lineRule="auto"/>
              <w:jc w:val="center"/>
            </w:pPr>
            <w:r>
              <w:t>100</w:t>
            </w:r>
          </w:p>
        </w:tc>
        <w:tc>
          <w:tcPr>
            <w:tcW w:w="1059" w:type="dxa"/>
            <w:tcBorders>
              <w:top w:val="single" w:sz="4" w:space="0" w:color="auto"/>
              <w:left w:val="single" w:sz="4" w:space="0" w:color="auto"/>
              <w:bottom w:val="single" w:sz="4" w:space="0" w:color="auto"/>
              <w:right w:val="single" w:sz="4" w:space="0" w:color="auto"/>
            </w:tcBorders>
          </w:tcPr>
          <w:p w14:paraId="70AB5603" w14:textId="0F8094E2" w:rsidR="00806C0A" w:rsidRDefault="00806C0A" w:rsidP="00806C0A">
            <w:pPr>
              <w:pStyle w:val="BodyText"/>
              <w:spacing w:line="240" w:lineRule="auto"/>
              <w:jc w:val="center"/>
            </w:pPr>
            <w:r>
              <w:t>450</w:t>
            </w:r>
          </w:p>
        </w:tc>
      </w:tr>
      <w:tr w:rsidR="00806C0A" w:rsidRPr="00CE1ACE" w14:paraId="030C5CA2" w14:textId="062910C8" w:rsidTr="00806C0A">
        <w:trPr>
          <w:trHeight w:val="80"/>
        </w:trPr>
        <w:tc>
          <w:tcPr>
            <w:tcW w:w="4002" w:type="dxa"/>
            <w:tcBorders>
              <w:top w:val="single" w:sz="4" w:space="0" w:color="auto"/>
              <w:left w:val="single" w:sz="4" w:space="0" w:color="auto"/>
              <w:bottom w:val="single" w:sz="4" w:space="0" w:color="auto"/>
              <w:right w:val="single" w:sz="4" w:space="0" w:color="auto"/>
            </w:tcBorders>
            <w:hideMark/>
          </w:tcPr>
          <w:p w14:paraId="6230E919" w14:textId="4038C217" w:rsidR="00806C0A" w:rsidRPr="00CE1ACE" w:rsidRDefault="00806C0A" w:rsidP="00806C0A">
            <w:pPr>
              <w:pStyle w:val="BodyText"/>
              <w:spacing w:line="240" w:lineRule="auto"/>
            </w:pPr>
            <w:r w:rsidRPr="00CE1ACE">
              <w:t xml:space="preserve">Runner Diameter </w:t>
            </w:r>
          </w:p>
        </w:tc>
        <w:tc>
          <w:tcPr>
            <w:tcW w:w="1804" w:type="dxa"/>
            <w:tcBorders>
              <w:top w:val="single" w:sz="4" w:space="0" w:color="auto"/>
              <w:left w:val="single" w:sz="4" w:space="0" w:color="auto"/>
              <w:bottom w:val="single" w:sz="4" w:space="0" w:color="auto"/>
              <w:right w:val="single" w:sz="4" w:space="0" w:color="auto"/>
            </w:tcBorders>
          </w:tcPr>
          <w:p w14:paraId="05AB7FEF" w14:textId="6997185F" w:rsidR="00806C0A" w:rsidRDefault="00806C0A" w:rsidP="00806C0A">
            <w:pPr>
              <w:pStyle w:val="BodyText"/>
              <w:spacing w:line="240" w:lineRule="auto"/>
              <w:jc w:val="center"/>
            </w:pPr>
            <m:oMathPara>
              <m:oMath>
                <m:r>
                  <w:rPr>
                    <w:rFonts w:ascii="Cambria Math" w:hAnsi="Cambria Math"/>
                  </w:rPr>
                  <m:t>D</m:t>
                </m:r>
              </m:oMath>
            </m:oMathPara>
          </w:p>
        </w:tc>
        <w:tc>
          <w:tcPr>
            <w:tcW w:w="1065" w:type="dxa"/>
            <w:tcBorders>
              <w:top w:val="single" w:sz="4" w:space="0" w:color="auto"/>
              <w:left w:val="single" w:sz="4" w:space="0" w:color="auto"/>
              <w:bottom w:val="single" w:sz="4" w:space="0" w:color="auto"/>
              <w:right w:val="single" w:sz="4" w:space="0" w:color="auto"/>
            </w:tcBorders>
          </w:tcPr>
          <w:p w14:paraId="26A8959A" w14:textId="2BD71565" w:rsidR="00806C0A" w:rsidRDefault="00806C0A" w:rsidP="00806C0A">
            <w:pPr>
              <w:pStyle w:val="BodyText"/>
              <w:spacing w:line="240" w:lineRule="auto"/>
              <w:jc w:val="center"/>
            </w:pPr>
            <w:r>
              <w:t>ft</w:t>
            </w:r>
          </w:p>
        </w:tc>
        <w:tc>
          <w:tcPr>
            <w:tcW w:w="1151" w:type="dxa"/>
            <w:tcBorders>
              <w:top w:val="single" w:sz="4" w:space="0" w:color="auto"/>
              <w:left w:val="single" w:sz="4" w:space="0" w:color="auto"/>
              <w:bottom w:val="single" w:sz="4" w:space="0" w:color="auto"/>
              <w:right w:val="single" w:sz="4" w:space="0" w:color="auto"/>
            </w:tcBorders>
          </w:tcPr>
          <w:p w14:paraId="096B5CDF" w14:textId="5AE5382A" w:rsidR="00806C0A" w:rsidRPr="00CE1ACE" w:rsidRDefault="00806C0A" w:rsidP="00806C0A">
            <w:pPr>
              <w:pStyle w:val="BodyText"/>
              <w:spacing w:line="240" w:lineRule="auto"/>
              <w:jc w:val="center"/>
            </w:pPr>
            <w:r>
              <w:t>15</w:t>
            </w:r>
          </w:p>
        </w:tc>
        <w:tc>
          <w:tcPr>
            <w:tcW w:w="1059" w:type="dxa"/>
            <w:tcBorders>
              <w:top w:val="single" w:sz="4" w:space="0" w:color="auto"/>
              <w:left w:val="single" w:sz="4" w:space="0" w:color="auto"/>
              <w:bottom w:val="single" w:sz="4" w:space="0" w:color="auto"/>
              <w:right w:val="single" w:sz="4" w:space="0" w:color="auto"/>
            </w:tcBorders>
          </w:tcPr>
          <w:p w14:paraId="7075808D" w14:textId="52DC4AB6" w:rsidR="00806C0A" w:rsidRDefault="00806C0A" w:rsidP="00806C0A">
            <w:pPr>
              <w:pStyle w:val="BodyText"/>
              <w:spacing w:line="240" w:lineRule="auto"/>
              <w:jc w:val="center"/>
            </w:pPr>
            <w:r>
              <w:t>4</w:t>
            </w:r>
          </w:p>
        </w:tc>
      </w:tr>
      <w:tr w:rsidR="00806C0A" w:rsidRPr="00CE1ACE" w14:paraId="4C8751E3" w14:textId="7C129418" w:rsidTr="00806C0A">
        <w:trPr>
          <w:trHeight w:val="80"/>
        </w:trPr>
        <w:tc>
          <w:tcPr>
            <w:tcW w:w="4002" w:type="dxa"/>
            <w:tcBorders>
              <w:top w:val="single" w:sz="4" w:space="0" w:color="auto"/>
              <w:left w:val="single" w:sz="4" w:space="0" w:color="auto"/>
              <w:bottom w:val="single" w:sz="4" w:space="0" w:color="auto"/>
              <w:right w:val="single" w:sz="4" w:space="0" w:color="auto"/>
            </w:tcBorders>
            <w:hideMark/>
          </w:tcPr>
          <w:p w14:paraId="06C59688" w14:textId="77777777" w:rsidR="00806C0A" w:rsidRPr="00CE1ACE" w:rsidRDefault="00806C0A" w:rsidP="00806C0A">
            <w:pPr>
              <w:pStyle w:val="BodyText"/>
              <w:spacing w:line="240" w:lineRule="auto"/>
            </w:pPr>
            <w:r w:rsidRPr="00CE1ACE">
              <w:t>Number of Blades</w:t>
            </w:r>
          </w:p>
        </w:tc>
        <w:tc>
          <w:tcPr>
            <w:tcW w:w="1804" w:type="dxa"/>
            <w:tcBorders>
              <w:top w:val="single" w:sz="4" w:space="0" w:color="auto"/>
              <w:left w:val="single" w:sz="4" w:space="0" w:color="auto"/>
              <w:bottom w:val="single" w:sz="4" w:space="0" w:color="auto"/>
              <w:right w:val="single" w:sz="4" w:space="0" w:color="auto"/>
            </w:tcBorders>
          </w:tcPr>
          <w:p w14:paraId="08F76F41" w14:textId="78F3D591" w:rsidR="00806C0A" w:rsidRDefault="00806C0A" w:rsidP="00806C0A">
            <w:pPr>
              <w:pStyle w:val="BodyText"/>
              <w:spacing w:line="240" w:lineRule="auto"/>
              <w:jc w:val="center"/>
            </w:pPr>
            <m:oMathPara>
              <m:oMath>
                <m:r>
                  <w:rPr>
                    <w:rFonts w:ascii="Cambria Math" w:hAnsi="Cambria Math"/>
                  </w:rPr>
                  <m:t>N</m:t>
                </m:r>
              </m:oMath>
            </m:oMathPara>
          </w:p>
        </w:tc>
        <w:tc>
          <w:tcPr>
            <w:tcW w:w="1065" w:type="dxa"/>
            <w:tcBorders>
              <w:top w:val="single" w:sz="4" w:space="0" w:color="auto"/>
              <w:left w:val="single" w:sz="4" w:space="0" w:color="auto"/>
              <w:bottom w:val="single" w:sz="4" w:space="0" w:color="auto"/>
              <w:right w:val="single" w:sz="4" w:space="0" w:color="auto"/>
            </w:tcBorders>
          </w:tcPr>
          <w:p w14:paraId="794A98C4" w14:textId="77777777" w:rsidR="00806C0A" w:rsidRDefault="00806C0A" w:rsidP="00806C0A">
            <w:pPr>
              <w:pStyle w:val="BodyText"/>
              <w:spacing w:line="240" w:lineRule="auto"/>
              <w:jc w:val="center"/>
            </w:pPr>
          </w:p>
        </w:tc>
        <w:tc>
          <w:tcPr>
            <w:tcW w:w="1151" w:type="dxa"/>
            <w:tcBorders>
              <w:top w:val="single" w:sz="4" w:space="0" w:color="auto"/>
              <w:left w:val="single" w:sz="4" w:space="0" w:color="auto"/>
              <w:bottom w:val="single" w:sz="4" w:space="0" w:color="auto"/>
              <w:right w:val="single" w:sz="4" w:space="0" w:color="auto"/>
            </w:tcBorders>
          </w:tcPr>
          <w:p w14:paraId="652C9979" w14:textId="3748A765" w:rsidR="00806C0A" w:rsidRPr="00CE1ACE" w:rsidRDefault="00806C0A" w:rsidP="00806C0A">
            <w:pPr>
              <w:pStyle w:val="BodyText"/>
              <w:spacing w:line="240" w:lineRule="auto"/>
              <w:jc w:val="center"/>
            </w:pPr>
            <w:r>
              <w:t>5</w:t>
            </w:r>
          </w:p>
        </w:tc>
        <w:tc>
          <w:tcPr>
            <w:tcW w:w="1059" w:type="dxa"/>
            <w:tcBorders>
              <w:top w:val="single" w:sz="4" w:space="0" w:color="auto"/>
              <w:left w:val="single" w:sz="4" w:space="0" w:color="auto"/>
              <w:bottom w:val="single" w:sz="4" w:space="0" w:color="auto"/>
              <w:right w:val="single" w:sz="4" w:space="0" w:color="auto"/>
            </w:tcBorders>
          </w:tcPr>
          <w:p w14:paraId="6FC8611D" w14:textId="682B1330" w:rsidR="00806C0A" w:rsidRDefault="00806C0A" w:rsidP="00806C0A">
            <w:pPr>
              <w:pStyle w:val="BodyText"/>
              <w:spacing w:line="240" w:lineRule="auto"/>
              <w:jc w:val="center"/>
            </w:pPr>
            <w:r>
              <w:t>5</w:t>
            </w:r>
          </w:p>
        </w:tc>
      </w:tr>
      <w:tr w:rsidR="00806C0A" w:rsidRPr="00CE1ACE" w14:paraId="4D539886" w14:textId="5B2E4166" w:rsidTr="00806C0A">
        <w:trPr>
          <w:trHeight w:val="80"/>
        </w:trPr>
        <w:tc>
          <w:tcPr>
            <w:tcW w:w="4002" w:type="dxa"/>
            <w:tcBorders>
              <w:top w:val="single" w:sz="4" w:space="0" w:color="auto"/>
              <w:left w:val="single" w:sz="4" w:space="0" w:color="auto"/>
              <w:bottom w:val="single" w:sz="4" w:space="0" w:color="auto"/>
              <w:right w:val="single" w:sz="4" w:space="0" w:color="auto"/>
            </w:tcBorders>
            <w:hideMark/>
          </w:tcPr>
          <w:p w14:paraId="7E5D5E2F" w14:textId="77777777" w:rsidR="00806C0A" w:rsidRPr="00CE1ACE" w:rsidRDefault="00806C0A" w:rsidP="00806C0A">
            <w:pPr>
              <w:pStyle w:val="BodyText"/>
              <w:spacing w:line="240" w:lineRule="auto"/>
            </w:pPr>
            <w:r w:rsidRPr="00CE1ACE">
              <w:t xml:space="preserve">Turbine Efficiency </w:t>
            </w:r>
          </w:p>
        </w:tc>
        <w:tc>
          <w:tcPr>
            <w:tcW w:w="1804" w:type="dxa"/>
            <w:tcBorders>
              <w:top w:val="single" w:sz="4" w:space="0" w:color="auto"/>
              <w:left w:val="single" w:sz="4" w:space="0" w:color="auto"/>
              <w:bottom w:val="single" w:sz="4" w:space="0" w:color="auto"/>
              <w:right w:val="single" w:sz="4" w:space="0" w:color="auto"/>
            </w:tcBorders>
          </w:tcPr>
          <w:p w14:paraId="14A9EADB" w14:textId="6A0F4C01" w:rsidR="00806C0A" w:rsidRDefault="00806C0A" w:rsidP="00806C0A">
            <w:pPr>
              <w:pStyle w:val="BodyText"/>
              <w:spacing w:line="240" w:lineRule="auto"/>
              <w:jc w:val="center"/>
            </w:pPr>
            <m:oMathPara>
              <m:oMath>
                <m:r>
                  <w:rPr>
                    <w:rFonts w:ascii="Cambria Math" w:hAnsi="Cambria Math"/>
                  </w:rPr>
                  <m:t>η</m:t>
                </m:r>
              </m:oMath>
            </m:oMathPara>
          </w:p>
        </w:tc>
        <w:tc>
          <w:tcPr>
            <w:tcW w:w="1065" w:type="dxa"/>
            <w:tcBorders>
              <w:top w:val="single" w:sz="4" w:space="0" w:color="auto"/>
              <w:left w:val="single" w:sz="4" w:space="0" w:color="auto"/>
              <w:bottom w:val="single" w:sz="4" w:space="0" w:color="auto"/>
              <w:right w:val="single" w:sz="4" w:space="0" w:color="auto"/>
            </w:tcBorders>
          </w:tcPr>
          <w:p w14:paraId="792F7AED" w14:textId="77777777" w:rsidR="00806C0A" w:rsidRDefault="00806C0A" w:rsidP="00806C0A">
            <w:pPr>
              <w:pStyle w:val="BodyText"/>
              <w:spacing w:line="240" w:lineRule="auto"/>
              <w:jc w:val="center"/>
            </w:pPr>
          </w:p>
        </w:tc>
        <w:tc>
          <w:tcPr>
            <w:tcW w:w="1151" w:type="dxa"/>
            <w:tcBorders>
              <w:top w:val="single" w:sz="4" w:space="0" w:color="auto"/>
              <w:left w:val="single" w:sz="4" w:space="0" w:color="auto"/>
              <w:bottom w:val="single" w:sz="4" w:space="0" w:color="auto"/>
              <w:right w:val="single" w:sz="4" w:space="0" w:color="auto"/>
            </w:tcBorders>
          </w:tcPr>
          <w:p w14:paraId="5EF3206B" w14:textId="72E5E92E" w:rsidR="00806C0A" w:rsidRPr="00CE1ACE" w:rsidRDefault="00806C0A" w:rsidP="00806C0A">
            <w:pPr>
              <w:pStyle w:val="BodyText"/>
              <w:spacing w:line="240" w:lineRule="auto"/>
              <w:jc w:val="center"/>
            </w:pPr>
            <w:r>
              <w:t>0.9</w:t>
            </w:r>
          </w:p>
        </w:tc>
        <w:tc>
          <w:tcPr>
            <w:tcW w:w="1059" w:type="dxa"/>
            <w:tcBorders>
              <w:top w:val="single" w:sz="4" w:space="0" w:color="auto"/>
              <w:left w:val="single" w:sz="4" w:space="0" w:color="auto"/>
              <w:bottom w:val="single" w:sz="4" w:space="0" w:color="auto"/>
              <w:right w:val="single" w:sz="4" w:space="0" w:color="auto"/>
            </w:tcBorders>
          </w:tcPr>
          <w:p w14:paraId="188FD600" w14:textId="578C07EE" w:rsidR="00806C0A" w:rsidRDefault="00806C0A" w:rsidP="00806C0A">
            <w:pPr>
              <w:pStyle w:val="BodyText"/>
              <w:spacing w:line="240" w:lineRule="auto"/>
              <w:jc w:val="center"/>
            </w:pPr>
            <w:r>
              <w:t>0.714</w:t>
            </w:r>
          </w:p>
        </w:tc>
      </w:tr>
      <w:bookmarkEnd w:id="2"/>
    </w:tbl>
    <w:p w14:paraId="2D39F1C0" w14:textId="77777777" w:rsidR="00326818" w:rsidRDefault="00326818" w:rsidP="00B311A8">
      <w:pPr>
        <w:pStyle w:val="BodyText"/>
      </w:pPr>
    </w:p>
    <w:p w14:paraId="0F75C5BF" w14:textId="68815741" w:rsidR="001348D2" w:rsidRDefault="00AB397B" w:rsidP="00AB397B">
      <w:pPr>
        <w:pStyle w:val="Heading2"/>
      </w:pPr>
      <w:r>
        <w:t xml:space="preserve">Migratory </w:t>
      </w:r>
      <w:r w:rsidR="001348D2">
        <w:t>Routes and Movement</w:t>
      </w:r>
    </w:p>
    <w:p w14:paraId="44FD5106" w14:textId="27FB3B80" w:rsidR="00064C9D" w:rsidRDefault="00064C9D" w:rsidP="00064C9D">
      <w:r>
        <w:t xml:space="preserve">The </w:t>
      </w:r>
      <w:r w:rsidR="00216950">
        <w:t xml:space="preserve">Cornell project is a traditional </w:t>
      </w:r>
      <w:r w:rsidR="005A0C56">
        <w:t xml:space="preserve">hydroelectric facility, where both </w:t>
      </w:r>
      <w:r w:rsidR="0014798B">
        <w:t>obligate</w:t>
      </w:r>
      <w:r w:rsidR="005A0C56">
        <w:t xml:space="preserve"> and opportunistic downstream migrants </w:t>
      </w:r>
      <w:r w:rsidR="00675C42">
        <w:t>risk entrainment as they move downstream.</w:t>
      </w:r>
      <w:r w:rsidR="00E83066">
        <w:t xml:space="preserve">  </w:t>
      </w:r>
      <w:r w:rsidR="0051153B">
        <w:t xml:space="preserve">The migratory network at </w:t>
      </w:r>
      <w:r w:rsidR="00675C42">
        <w:t>Cornell</w:t>
      </w:r>
      <w:r w:rsidR="0051153B">
        <w:t xml:space="preserve"> is described with the following graph (</w:t>
      </w:r>
      <w:r w:rsidR="0051153B" w:rsidRPr="0065715B">
        <w:rPr>
          <w:highlight w:val="yellow"/>
        </w:rPr>
        <w:t>Figure XX</w:t>
      </w:r>
      <w:r w:rsidR="0051153B">
        <w:t xml:space="preserve">).  Fish </w:t>
      </w:r>
      <w:r w:rsidR="00FE0904">
        <w:t xml:space="preserve">start in the </w:t>
      </w:r>
      <w:r w:rsidR="00675C42">
        <w:t>forebay</w:t>
      </w:r>
      <w:r w:rsidR="00FE0904">
        <w:t xml:space="preserve"> where they can either be entrained</w:t>
      </w:r>
      <w:r w:rsidR="005A6802">
        <w:t xml:space="preserve"> or </w:t>
      </w:r>
      <w:r w:rsidR="00F513CB">
        <w:t>pass via spill</w:t>
      </w:r>
      <w:r w:rsidR="00FE0904">
        <w:t xml:space="preserve">.  </w:t>
      </w:r>
      <w:r w:rsidR="00624608">
        <w:t xml:space="preserve">Survival is assessed at every node.  </w:t>
      </w:r>
      <w:r w:rsidR="00F513CB">
        <w:t>If a fish survives</w:t>
      </w:r>
      <w:r w:rsidR="005A6802">
        <w:t xml:space="preserve"> the passage state</w:t>
      </w:r>
      <w:r w:rsidR="00FE14A6">
        <w:t>, the</w:t>
      </w:r>
      <w:r w:rsidR="001F2E20">
        <w:t>y</w:t>
      </w:r>
      <w:r w:rsidR="00FE14A6">
        <w:t xml:space="preserve"> transition to the tailrace.  </w:t>
      </w:r>
    </w:p>
    <w:p w14:paraId="0629B623" w14:textId="74C466EE" w:rsidR="00480AC3" w:rsidRDefault="00480AC3" w:rsidP="00064C9D">
      <w:r>
        <w:lastRenderedPageBreak/>
        <w:t xml:space="preserve">Fish are assumed to “follow the flow.”  Therefore, if 90% of the river discharge is directed through the units, 90% of the simulated fish will become entrained and the remaining fish </w:t>
      </w:r>
      <w:r w:rsidR="007C3203">
        <w:t xml:space="preserve">will spill.  </w:t>
      </w:r>
      <w:r w:rsidR="00891E29">
        <w:t xml:space="preserve"> </w:t>
      </w:r>
      <w:r w:rsidR="00AD0816">
        <w:t>Seasonal f</w:t>
      </w:r>
      <w:r w:rsidR="00891E29">
        <w:t xml:space="preserve">low routing </w:t>
      </w:r>
      <w:r w:rsidR="00AD0816">
        <w:t>scenarios were determined for a low, median, and high water year</w:t>
      </w:r>
      <w:r w:rsidR="00FB7368">
        <w:t xml:space="preserve">.  </w:t>
      </w:r>
    </w:p>
    <w:p w14:paraId="15A6C1CA" w14:textId="77777777" w:rsidR="00132F7D" w:rsidRDefault="0022054B" w:rsidP="00132F7D">
      <w:pPr>
        <w:keepNext/>
      </w:pPr>
      <w:r w:rsidRPr="0022054B">
        <w:drawing>
          <wp:inline distT="0" distB="0" distL="0" distR="0" wp14:anchorId="264E30AC" wp14:editId="567115D3">
            <wp:extent cx="2723711" cy="2794000"/>
            <wp:effectExtent l="0" t="0" r="635" b="6350"/>
            <wp:docPr id="4" name="Picture 3">
              <a:extLst xmlns:a="http://schemas.openxmlformats.org/drawingml/2006/main">
                <a:ext uri="{FF2B5EF4-FFF2-40B4-BE49-F238E27FC236}">
                  <a16:creationId xmlns:a16="http://schemas.microsoft.com/office/drawing/2014/main" id="{B8B85728-5AED-465E-B175-130413DE8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8B85728-5AED-465E-B175-130413DE846E}"/>
                        </a:ext>
                      </a:extLst>
                    </pic:cNvPr>
                    <pic:cNvPicPr>
                      <a:picLocks noChangeAspect="1"/>
                    </pic:cNvPicPr>
                  </pic:nvPicPr>
                  <pic:blipFill>
                    <a:blip r:embed="rId11"/>
                    <a:stretch>
                      <a:fillRect/>
                    </a:stretch>
                  </pic:blipFill>
                  <pic:spPr>
                    <a:xfrm>
                      <a:off x="0" y="0"/>
                      <a:ext cx="2727222" cy="2797602"/>
                    </a:xfrm>
                    <a:prstGeom prst="rect">
                      <a:avLst/>
                    </a:prstGeom>
                  </pic:spPr>
                </pic:pic>
              </a:graphicData>
            </a:graphic>
          </wp:inline>
        </w:drawing>
      </w:r>
    </w:p>
    <w:p w14:paraId="065781FE" w14:textId="148CB9B1" w:rsidR="00FB0115" w:rsidRDefault="00132F7D" w:rsidP="00132F7D">
      <w:pPr>
        <w:pStyle w:val="Caption"/>
      </w:pPr>
      <w:r>
        <w:t xml:space="preserve">Figure </w:t>
      </w:r>
      <w:fldSimple w:instr=" SEQ Figure \* ARABIC ">
        <w:r>
          <w:rPr>
            <w:noProof/>
          </w:rPr>
          <w:t>1</w:t>
        </w:r>
      </w:fldSimple>
      <w:r w:rsidRPr="00132F7D">
        <w:t xml:space="preserve"> </w:t>
      </w:r>
      <w:r>
        <w:t xml:space="preserve">shows the migratory routes at the Cornell project.  Note, units 1 – 4 are a single node because each unit is identical.  Discharge is assumed to be split equally among the 4.  </w:t>
      </w:r>
    </w:p>
    <w:p w14:paraId="435C367D" w14:textId="0A69DE5B" w:rsidR="00AF6718" w:rsidRDefault="0087577A" w:rsidP="00AB397B">
      <w:pPr>
        <w:pStyle w:val="Heading2"/>
      </w:pPr>
      <w:r>
        <w:t xml:space="preserve">Node Survival </w:t>
      </w:r>
      <w:r w:rsidR="001348D2">
        <w:t xml:space="preserve"> </w:t>
      </w:r>
    </w:p>
    <w:p w14:paraId="14C226CF" w14:textId="7437E38D" w:rsidR="000269FF" w:rsidRPr="00CE1ACE" w:rsidRDefault="00C34A87" w:rsidP="000269FF">
      <w:pPr>
        <w:pStyle w:val="BodyText"/>
      </w:pPr>
      <w:r>
        <w:t xml:space="preserve">Stryke </w:t>
      </w:r>
      <w:r w:rsidR="00FA6357">
        <w:t>assesses</w:t>
      </w:r>
      <w:r>
        <w:t xml:space="preserve"> s</w:t>
      </w:r>
      <w:r w:rsidR="00B67664">
        <w:t xml:space="preserve">urvival </w:t>
      </w:r>
      <w:r>
        <w:t xml:space="preserve">for individual fish </w:t>
      </w:r>
      <w:r w:rsidR="00B67664">
        <w:t xml:space="preserve">at </w:t>
      </w:r>
      <w:r>
        <w:t xml:space="preserve">each </w:t>
      </w:r>
      <w:r w:rsidR="00FA6357">
        <w:t xml:space="preserve">node </w:t>
      </w:r>
      <w:r>
        <w:t>within the migratory network.  For</w:t>
      </w:r>
      <w:r w:rsidR="00D079B8">
        <w:t xml:space="preserve"> </w:t>
      </w:r>
      <w:r w:rsidR="00604BE5">
        <w:t xml:space="preserve">the </w:t>
      </w:r>
      <w:r w:rsidR="00512BE4">
        <w:t>forebay and tailrace</w:t>
      </w:r>
      <w:r w:rsidR="00D079B8">
        <w:t xml:space="preserve"> nodes</w:t>
      </w:r>
      <w:r w:rsidR="00604BE5">
        <w:t xml:space="preserve">, the survival probability </w:t>
      </w:r>
      <w:r w:rsidR="009514C9">
        <w:t xml:space="preserve">was assumed to be 1.0.  Since we are not concerned with </w:t>
      </w:r>
      <w:r w:rsidR="00915893">
        <w:t>effects</w:t>
      </w:r>
      <w:r w:rsidR="009514C9">
        <w:t xml:space="preserve"> of migratory delay</w:t>
      </w:r>
      <w:r w:rsidR="0070414B">
        <w:t>, like we would with an obligated anadromous fish</w:t>
      </w:r>
      <w:r w:rsidR="00AF251C">
        <w:t xml:space="preserve"> (e.g. juvenile alosine)</w:t>
      </w:r>
      <w:r w:rsidR="0070414B">
        <w:t xml:space="preserve">, </w:t>
      </w:r>
      <w:r w:rsidR="00AF251C">
        <w:t>we do not need to model natural mortality (e.g. predation)</w:t>
      </w:r>
      <w:r w:rsidR="00F7372A">
        <w:t xml:space="preserve">. </w:t>
      </w:r>
      <w:r w:rsidR="00F94740">
        <w:t>During times of high discharge</w:t>
      </w:r>
      <w:r w:rsidR="000A622F">
        <w:t>,</w:t>
      </w:r>
      <w:r w:rsidR="00F94740">
        <w:t xml:space="preserve"> </w:t>
      </w:r>
      <w:r w:rsidR="00C11FCA">
        <w:t>fish may spill over the dam</w:t>
      </w:r>
      <w:r w:rsidR="000A622F">
        <w:t xml:space="preserve">.  </w:t>
      </w:r>
      <w:r w:rsidR="00230892">
        <w:t xml:space="preserve">When spilling, </w:t>
      </w:r>
      <w:r w:rsidR="0080384F">
        <w:t>s</w:t>
      </w:r>
      <w:r w:rsidR="000A622F">
        <w:t>urvival was assumed to be high</w:t>
      </w:r>
      <w:r w:rsidR="0080384F">
        <w:t xml:space="preserve"> (90%).  </w:t>
      </w:r>
      <w:r w:rsidR="00F7372A">
        <w:t>When a fish is entrained, survival at a turbine is assessed with the Franke et al. (1997) equations</w:t>
      </w:r>
      <w:r w:rsidR="005A1DCF">
        <w:t xml:space="preserve"> for Kaplan runners</w:t>
      </w:r>
      <w:r w:rsidR="00F7372A">
        <w:t xml:space="preserve">.  </w:t>
      </w:r>
      <w:r w:rsidR="0019395A" w:rsidRPr="00CE1ACE">
        <w:t>The first step calculate</w:t>
      </w:r>
      <w:r w:rsidR="0019395A">
        <w:t>d</w:t>
      </w:r>
      <w:r w:rsidR="0019395A" w:rsidRPr="00CE1ACE">
        <w:t xml:space="preserve"> the </w:t>
      </w:r>
      <w:r w:rsidR="000269FF" w:rsidRPr="00CE1ACE">
        <w:t xml:space="preserve">energy coefficient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000269FF" w:rsidRPr="00CE1ACE">
        <w:t xml:space="preserve"> </w:t>
      </w:r>
      <w:r w:rsidR="00C71ECC">
        <w:t xml:space="preserve">and </w:t>
      </w:r>
      <w:r w:rsidR="000269FF" w:rsidRPr="00CE1ACE">
        <w:t xml:space="preserve">is given with Equation </w:t>
      </w:r>
      <w:r w:rsidR="00785F9A">
        <w:t>1</w:t>
      </w:r>
      <w:r w:rsidR="000269FF" w:rsidRPr="00CE1ACE">
        <w:t xml:space="preserve">: </w:t>
      </w:r>
    </w:p>
    <w:tbl>
      <w:tblPr>
        <w:tblStyle w:val="TableGrid"/>
        <w:tblW w:w="936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40"/>
      </w:tblGrid>
      <w:tr w:rsidR="000269FF" w:rsidRPr="00CE1ACE" w14:paraId="6E486B54" w14:textId="77777777" w:rsidTr="00FD1574">
        <w:tc>
          <w:tcPr>
            <w:tcW w:w="8820" w:type="dxa"/>
            <w:hideMark/>
          </w:tcPr>
          <w:p w14:paraId="77578B18" w14:textId="77777777" w:rsidR="000269FF" w:rsidRPr="00CE1ACE" w:rsidRDefault="00E149AA" w:rsidP="00FD1574">
            <m:oMathPara>
              <m:oMath>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gH</m:t>
                    </m:r>
                  </m:num>
                  <m:den>
                    <m:d>
                      <m:dPr>
                        <m:ctrlPr>
                          <w:rPr>
                            <w:rFonts w:ascii="Cambria Math" w:hAnsi="Cambria Math"/>
                            <w:i/>
                          </w:rPr>
                        </m:ctrlPr>
                      </m:dPr>
                      <m:e>
                        <m:r>
                          <w:rPr>
                            <w:rFonts w:ascii="Cambria Math" w:hAnsi="Cambria Math"/>
                          </w:rPr>
                          <m:t>ωD</m:t>
                        </m:r>
                      </m:e>
                    </m:d>
                  </m:den>
                </m:f>
              </m:oMath>
            </m:oMathPara>
          </w:p>
        </w:tc>
        <w:tc>
          <w:tcPr>
            <w:tcW w:w="540" w:type="dxa"/>
            <w:vAlign w:val="center"/>
            <w:hideMark/>
          </w:tcPr>
          <w:p w14:paraId="748004E3" w14:textId="77777777" w:rsidR="000269FF" w:rsidRPr="00CE1ACE" w:rsidRDefault="000269FF" w:rsidP="00FD1574">
            <w:pPr>
              <w:pStyle w:val="Caption"/>
              <w:keepNext/>
              <w:jc w:val="center"/>
            </w:pPr>
            <w:r>
              <w:t>2</w:t>
            </w:r>
          </w:p>
        </w:tc>
      </w:tr>
    </w:tbl>
    <w:p w14:paraId="15EB6294" w14:textId="205370B6" w:rsidR="0019395A" w:rsidRPr="00CE1ACE" w:rsidRDefault="0019395A" w:rsidP="0019395A">
      <w:pPr>
        <w:pStyle w:val="BodyText"/>
      </w:pPr>
      <w:r w:rsidRPr="00CE1ACE">
        <w:lastRenderedPageBreak/>
        <w:t xml:space="preserve">where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the energy coefficient, </w:t>
      </w:r>
      <m:oMath>
        <m:r>
          <w:rPr>
            <w:rFonts w:ascii="Cambria Math" w:hAnsi="Cambria Math"/>
          </w:rPr>
          <m:t>g</m:t>
        </m:r>
      </m:oMath>
      <w:r w:rsidRPr="00CE1ACE">
        <w:t xml:space="preserve"> is the acceleration due to gravity (</w:t>
      </w:r>
      <m:oMath>
        <m:r>
          <w:rPr>
            <w:rFonts w:ascii="Cambria Math" w:hAnsi="Cambria Math"/>
          </w:rPr>
          <m:t>ft/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1ACE">
        <w:t xml:space="preserve">), </w:t>
      </w:r>
      <m:oMath>
        <m:r>
          <w:rPr>
            <w:rFonts w:ascii="Cambria Math" w:hAnsi="Cambria Math"/>
          </w:rPr>
          <m:t>H</m:t>
        </m:r>
      </m:oMath>
      <w:r w:rsidRPr="00CE1ACE">
        <w:t xml:space="preserve"> is the turbine net head (ft</w:t>
      </w:r>
      <m:oMath>
        <m:r>
          <w:rPr>
            <w:rFonts w:ascii="Cambria Math" w:hAnsi="Cambria Math"/>
          </w:rPr>
          <m:t>)</m:t>
        </m:r>
      </m:oMath>
      <w:r w:rsidRPr="00CE1ACE">
        <w:t xml:space="preserve">, </w:t>
      </w:r>
      <m:oMath>
        <m:r>
          <w:rPr>
            <w:rFonts w:ascii="Cambria Math" w:hAnsi="Cambria Math"/>
          </w:rPr>
          <m:t>ω</m:t>
        </m:r>
      </m:oMath>
      <w:r w:rsidRPr="00CE1ACE">
        <w:t xml:space="preserve"> is the rotational speed of the runner (</w:t>
      </w:r>
      <m:oMath>
        <m:r>
          <w:rPr>
            <w:rFonts w:ascii="Cambria Math" w:hAnsi="Cambria Math"/>
          </w:rPr>
          <m:t>RPM*2π/60)</m:t>
        </m:r>
      </m:oMath>
      <w:r w:rsidRPr="00CE1ACE">
        <w:t xml:space="preserve">, and </w:t>
      </w:r>
      <m:oMath>
        <m:r>
          <w:rPr>
            <w:rFonts w:ascii="Cambria Math" w:hAnsi="Cambria Math"/>
          </w:rPr>
          <m:t>D</m:t>
        </m:r>
      </m:oMath>
      <w:r w:rsidRPr="00CE1ACE">
        <w:t xml:space="preserve"> is the diameter of the runner (ft). </w:t>
      </w:r>
      <w:r w:rsidR="00785F9A">
        <w:t xml:space="preserve">Next, we calculate </w:t>
      </w:r>
      <w:r w:rsidR="009F6A26">
        <w:t>the discharge coefficient</w:t>
      </w:r>
      <w:r w:rsidRPr="00CE1ACE">
        <w:t xml:space="preserve"> (</w:t>
      </w:r>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oMath>
      <w:r w:rsidRPr="00CE1ACE">
        <w:t xml:space="preserve"> with Equation 5: </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900"/>
      </w:tblGrid>
      <w:tr w:rsidR="0019395A" w:rsidRPr="00CE1ACE" w14:paraId="7C964C07" w14:textId="77777777" w:rsidTr="00FA0226">
        <w:tc>
          <w:tcPr>
            <w:tcW w:w="8550" w:type="dxa"/>
            <w:hideMark/>
          </w:tcPr>
          <w:p w14:paraId="02318AAE" w14:textId="77777777" w:rsidR="0019395A" w:rsidRPr="00CE1ACE" w:rsidRDefault="00E149AA" w:rsidP="00FA0226">
            <m:oMathPara>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900" w:type="dxa"/>
            <w:vAlign w:val="center"/>
            <w:hideMark/>
          </w:tcPr>
          <w:p w14:paraId="41A1F08E" w14:textId="77ACCCD1" w:rsidR="0019395A" w:rsidRPr="00CE1ACE" w:rsidRDefault="00E36B8C" w:rsidP="00FA0226">
            <w:pPr>
              <w:pStyle w:val="Caption"/>
              <w:keepNext/>
              <w:jc w:val="right"/>
            </w:pPr>
            <w:r>
              <w:t>3</w:t>
            </w:r>
          </w:p>
        </w:tc>
      </w:tr>
    </w:tbl>
    <w:p w14:paraId="2CEFB496" w14:textId="77777777" w:rsidR="0019395A" w:rsidRPr="00CE1ACE" w:rsidRDefault="0019395A" w:rsidP="0019395A"/>
    <w:p w14:paraId="02EFA4B4" w14:textId="77777777" w:rsidR="0019395A" w:rsidRPr="00CE1ACE" w:rsidRDefault="0019395A" w:rsidP="0019395A">
      <w:pPr>
        <w:pStyle w:val="BodyText"/>
      </w:pPr>
      <w:r w:rsidRPr="00CE1ACE">
        <w:t xml:space="preserve">where </w:t>
      </w:r>
      <m:oMath>
        <m:sSup>
          <m:sSupPr>
            <m:ctrlPr>
              <w:rPr>
                <w:rFonts w:ascii="Cambria Math" w:hAnsi="Cambria Math"/>
                <w:i/>
              </w:rPr>
            </m:ctrlPr>
          </m:sSupPr>
          <m:e>
            <m:r>
              <w:rPr>
                <w:rFonts w:ascii="Cambria Math" w:hAnsi="Cambria Math"/>
              </w:rPr>
              <m:t>D</m:t>
            </m:r>
          </m:e>
          <m:sup>
            <m:r>
              <w:rPr>
                <w:rFonts w:ascii="Cambria Math" w:hAnsi="Cambria Math"/>
              </w:rPr>
              <m:t>3</m:t>
            </m:r>
          </m:sup>
        </m:sSup>
      </m:oMath>
      <w:r w:rsidRPr="00CE1ACE">
        <w:t xml:space="preserve"> is the diameter (ft) of the runner cubed. The relative flow angle (</w:t>
      </w:r>
      <m:oMath>
        <m:r>
          <w:rPr>
            <w:rFonts w:ascii="Cambria Math" w:hAnsi="Cambria Math" w:cs="Cambria Math"/>
          </w:rPr>
          <m:t>β</m:t>
        </m:r>
      </m:oMath>
      <w:r w:rsidRPr="00CE1ACE">
        <w:t>) is given with Equation 6:</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19395A" w:rsidRPr="00CE1ACE" w14:paraId="36D33F24" w14:textId="77777777" w:rsidTr="00FA0226">
        <w:tc>
          <w:tcPr>
            <w:tcW w:w="8730" w:type="dxa"/>
            <w:hideMark/>
          </w:tcPr>
          <w:p w14:paraId="3E8E486F" w14:textId="2EA1B98E" w:rsidR="0019395A" w:rsidRPr="00CE1ACE" w:rsidRDefault="00E149AA" w:rsidP="00FA0226">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num>
                  <m:den>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*Q</m:t>
                        </m:r>
                      </m:e>
                      <m:sub>
                        <m:r>
                          <w:rPr>
                            <w:rFonts w:ascii="Cambria Math" w:hAnsi="Cambria Math"/>
                          </w:rPr>
                          <m:t>opt</m:t>
                        </m:r>
                      </m:sub>
                    </m:sSub>
                  </m:den>
                </m:f>
              </m:oMath>
            </m:oMathPara>
          </w:p>
        </w:tc>
        <w:tc>
          <w:tcPr>
            <w:tcW w:w="720" w:type="dxa"/>
            <w:vAlign w:val="center"/>
            <w:hideMark/>
          </w:tcPr>
          <w:p w14:paraId="737DA942" w14:textId="47B486F2" w:rsidR="0019395A" w:rsidRPr="00CE1ACE" w:rsidRDefault="00E36B8C" w:rsidP="00FA0226">
            <w:pPr>
              <w:pStyle w:val="Caption"/>
              <w:keepNext/>
              <w:jc w:val="right"/>
            </w:pPr>
            <w:r>
              <w:t>4</w:t>
            </w:r>
          </w:p>
        </w:tc>
      </w:tr>
    </w:tbl>
    <w:p w14:paraId="612A0CC9" w14:textId="77777777" w:rsidR="0019395A" w:rsidRPr="00CE1ACE" w:rsidRDefault="0019395A" w:rsidP="0019395A"/>
    <w:p w14:paraId="7888FD90" w14:textId="26F2E3C7" w:rsidR="003A2F71" w:rsidRDefault="0019395A" w:rsidP="0019395A">
      <w:pPr>
        <w:pStyle w:val="BodyText"/>
      </w:pPr>
      <w:r w:rsidRPr="00CE1ACE">
        <w:t xml:space="preserve">where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rsidRPr="00CE1ACE">
        <w:t xml:space="preserve"> is the turbine discharge at best efficiency (</w:t>
      </w:r>
      <m:oMath>
        <m:sSup>
          <m:sSupPr>
            <m:ctrlPr>
              <w:rPr>
                <w:rFonts w:ascii="Cambria Math" w:hAnsi="Cambria Math"/>
                <w:i/>
              </w:rPr>
            </m:ctrlPr>
          </m:sSupPr>
          <m:e>
            <m:r>
              <w:rPr>
                <w:rFonts w:ascii="Cambria Math" w:hAnsi="Cambria Math"/>
              </w:rPr>
              <m:t>ft</m:t>
            </m:r>
          </m:e>
          <m:sup>
            <m:r>
              <w:rPr>
                <w:rFonts w:ascii="Cambria Math" w:hAnsi="Cambria Math"/>
              </w:rPr>
              <m:t>3</m:t>
            </m:r>
          </m:sup>
        </m:sSup>
        <m:r>
          <w:rPr>
            <w:rFonts w:ascii="Cambria Math" w:hAnsi="Cambria Math"/>
          </w:rPr>
          <m:t>/s</m:t>
        </m:r>
      </m:oMath>
      <w:r w:rsidRPr="00CE1ACE">
        <w:t xml:space="preserve">) and </w:t>
      </w:r>
      <m:oMath>
        <m:f>
          <m:fPr>
            <m:ctrlPr>
              <w:rPr>
                <w:rFonts w:ascii="Cambria Math" w:hAnsi="Cambria Math" w:cs="Times New Roman"/>
                <w:i/>
              </w:rPr>
            </m:ctrlPr>
          </m:fPr>
          <m:num>
            <m:r>
              <w:rPr>
                <w:rFonts w:ascii="Cambria Math" w:hAnsi="Cambria Math"/>
              </w:rPr>
              <m:t>r</m:t>
            </m:r>
          </m:num>
          <m:den>
            <m:r>
              <w:rPr>
                <w:rFonts w:ascii="Cambria Math" w:hAnsi="Cambria Math"/>
              </w:rPr>
              <m:t>R</m:t>
            </m:r>
          </m:den>
        </m:f>
      </m:oMath>
      <w:r w:rsidRPr="00CE1ACE">
        <w:t xml:space="preserve"> is the</w:t>
      </w:r>
      <w:r w:rsidR="00D71BCB">
        <w:t xml:space="preserve"> radius</w:t>
      </w:r>
      <w:r w:rsidRPr="00CE1ACE">
        <w:t xml:space="preserve"> ratio</w:t>
      </w:r>
      <w:r w:rsidR="003A2F71">
        <w:t>, or where along the radius of the turbine runner struck the fish.</w:t>
      </w:r>
      <w:r w:rsidRPr="00CE1ACE">
        <w:t xml:space="preserve"> </w:t>
      </w:r>
      <w:r w:rsidR="003A2F71">
        <w:t xml:space="preserve">  </w:t>
      </w:r>
      <w:r w:rsidR="007A57C0">
        <w:t xml:space="preserve">Stryke simulates the radius ratio with a draw from a uniform probability </w:t>
      </w:r>
      <w:r w:rsidR="000D2711">
        <w:t xml:space="preserve">between 0.3 and 1.0.  </w:t>
      </w:r>
      <w:r w:rsidR="003A2F71">
        <w:t xml:space="preserve">Then, we calculated the angle of absolute flow to axis of the rotation with: </w:t>
      </w:r>
    </w:p>
    <w:p w14:paraId="22EBB819" w14:textId="18A71A9E" w:rsidR="003A2F71" w:rsidRDefault="00E149AA" w:rsidP="0019395A">
      <w:pPr>
        <w:pStyle w:val="BodyText"/>
      </w:pPr>
      <m:oMathPara>
        <m:oMath>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*η</m:t>
                  </m:r>
                </m:num>
                <m:den>
                  <m:sSub>
                    <m:sSubPr>
                      <m:ctrlPr>
                        <w:rPr>
                          <w:rFonts w:ascii="Cambria Math" w:hAnsi="Cambria Math" w:cs="Times New Roman"/>
                          <w:i/>
                        </w:rPr>
                      </m:ctrlPr>
                    </m:sSubPr>
                    <m:e>
                      <m:r>
                        <w:rPr>
                          <w:rFonts w:ascii="Cambria Math" w:hAnsi="Cambria Math"/>
                        </w:rPr>
                        <m:t>Q</m:t>
                      </m:r>
                    </m:e>
                    <m:sub>
                      <m:r>
                        <w:rPr>
                          <w:rFonts w:ascii="Cambria Math" w:hAnsi="Cambria Math"/>
                        </w:rPr>
                        <m:t>ωd</m:t>
                      </m:r>
                    </m:sub>
                  </m:sSub>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R</m:t>
                      </m:r>
                    </m:den>
                  </m:f>
                </m:den>
              </m:f>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π</m:t>
                      </m:r>
                    </m:num>
                    <m:den>
                      <m:r>
                        <w:rPr>
                          <w:rFonts w:ascii="Cambria Math" w:hAnsi="Cambria Math"/>
                        </w:rPr>
                        <m:t>8</m:t>
                      </m:r>
                    </m:den>
                  </m:f>
                  <m:r>
                    <w:rPr>
                      <w:rFonts w:ascii="Cambria Math" w:hAnsi="Cambria Math"/>
                    </w:rPr>
                    <m:t>*</m:t>
                  </m:r>
                  <m:f>
                    <m:fPr>
                      <m:type m:val="skw"/>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R</m:t>
                      </m:r>
                    </m:den>
                  </m:f>
                </m:num>
                <m:den>
                  <m:sSub>
                    <m:sSubPr>
                      <m:ctrlPr>
                        <w:rPr>
                          <w:rFonts w:ascii="Cambria Math" w:hAnsi="Cambria Math" w:cs="Times New Roman"/>
                          <w:i/>
                        </w:rPr>
                      </m:ctrlPr>
                    </m:sSubPr>
                    <m:e>
                      <m:r>
                        <w:rPr>
                          <w:rFonts w:ascii="Cambria Math" w:hAnsi="Cambria Math"/>
                        </w:rPr>
                        <m:t>Q</m:t>
                      </m:r>
                    </m:e>
                    <m:sub>
                      <m:r>
                        <w:rPr>
                          <w:rFonts w:ascii="Cambria Math" w:hAnsi="Cambria Math"/>
                        </w:rPr>
                        <m:t>ωd</m:t>
                      </m:r>
                    </m:sub>
                  </m:sSub>
                </m:den>
              </m:f>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e>
          </m:d>
        </m:oMath>
      </m:oMathPara>
    </w:p>
    <w:p w14:paraId="25396A84" w14:textId="3A7483A9" w:rsidR="0019395A" w:rsidRPr="00CE1ACE" w:rsidRDefault="0019395A" w:rsidP="0019395A">
      <w:pPr>
        <w:pStyle w:val="BodyText"/>
      </w:pPr>
      <w:r w:rsidRPr="00CE1ACE">
        <w:t xml:space="preserve">Finally, the probability of mortality from blade strike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Pr="00CE1ACE">
        <w:t xml:space="preserve"> </w:t>
      </w:r>
      <w:r w:rsidR="00E36B8C">
        <w:t xml:space="preserve">during discharge model </w:t>
      </w:r>
      <w:r w:rsidRPr="00CE1ACE">
        <w:t>is given with Equation 7:</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19395A" w:rsidRPr="00CE1ACE" w14:paraId="55124E7F" w14:textId="77777777" w:rsidTr="00FA0226">
        <w:tc>
          <w:tcPr>
            <w:tcW w:w="8725" w:type="dxa"/>
            <w:hideMark/>
          </w:tcPr>
          <w:p w14:paraId="26B80838" w14:textId="276D4800" w:rsidR="0019395A" w:rsidRPr="00CE1ACE" w:rsidRDefault="00E149AA" w:rsidP="00FA0226">
            <m:oMathPara>
              <m:oMath>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=λ</m:t>
                </m:r>
                <m:f>
                  <m:fPr>
                    <m:ctrlPr>
                      <w:rPr>
                        <w:rFonts w:ascii="Cambria Math" w:hAnsi="Cambria Math"/>
                        <w:i/>
                      </w:rPr>
                    </m:ctrlPr>
                  </m:fPr>
                  <m:num>
                    <m:r>
                      <w:rPr>
                        <w:rFonts w:ascii="Cambria Math" w:hAnsi="Cambria Math"/>
                      </w:rPr>
                      <m:t>N*L</m:t>
                    </m:r>
                  </m:num>
                  <m:den>
                    <m:r>
                      <w:rPr>
                        <w:rFonts w:ascii="Cambria Math" w:hAnsi="Cambria Math"/>
                      </w:rPr>
                      <m:t>D</m:t>
                    </m:r>
                  </m:den>
                </m:f>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α</m:t>
                                </m:r>
                              </m:sub>
                            </m:sSub>
                          </m:e>
                        </m:func>
                      </m:num>
                      <m:den>
                        <m:r>
                          <w:rPr>
                            <w:rFonts w:ascii="Cambria Math" w:hAnsi="Cambria Math"/>
                          </w:rPr>
                          <m:t>8*</m:t>
                        </m:r>
                        <m:sSub>
                          <m:sSubPr>
                            <m:ctrlPr>
                              <w:rPr>
                                <w:rFonts w:ascii="Cambria Math" w:hAnsi="Cambria Math"/>
                                <w:i/>
                              </w:rPr>
                            </m:ctrlPr>
                          </m:sSubPr>
                          <m:e>
                            <m:r>
                              <w:rPr>
                                <w:rFonts w:ascii="Cambria Math" w:hAnsi="Cambria Math"/>
                              </w:rPr>
                              <m:t>Q</m:t>
                            </m:r>
                          </m:e>
                          <m:sub>
                            <m:r>
                              <w:rPr>
                                <w:rFonts w:ascii="Cambria Math" w:hAnsi="Cambria Math"/>
                              </w:rPr>
                              <m:t>wd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α</m:t>
                                </m:r>
                              </m:sub>
                            </m:sSub>
                          </m:e>
                        </m:func>
                      </m:num>
                      <m:den>
                        <m:r>
                          <w:rPr>
                            <w:rFonts w:ascii="Cambria Math" w:hAnsi="Cambria Math"/>
                          </w:rPr>
                          <m:t>π*</m:t>
                        </m:r>
                        <m:f>
                          <m:fPr>
                            <m:type m:val="skw"/>
                            <m:ctrlPr>
                              <w:rPr>
                                <w:rFonts w:ascii="Cambria Math" w:hAnsi="Cambria Math"/>
                                <w:i/>
                              </w:rPr>
                            </m:ctrlPr>
                          </m:fPr>
                          <m:num>
                            <m:r>
                              <w:rPr>
                                <w:rFonts w:ascii="Cambria Math" w:hAnsi="Cambria Math"/>
                              </w:rPr>
                              <m:t>r</m:t>
                            </m:r>
                          </m:num>
                          <m:den>
                            <m:r>
                              <w:rPr>
                                <w:rFonts w:ascii="Cambria Math" w:hAnsi="Cambria Math"/>
                              </w:rPr>
                              <m:t>R</m:t>
                            </m:r>
                          </m:den>
                        </m:f>
                      </m:den>
                    </m:f>
                  </m:e>
                </m:d>
              </m:oMath>
            </m:oMathPara>
          </w:p>
        </w:tc>
        <w:tc>
          <w:tcPr>
            <w:tcW w:w="625" w:type="dxa"/>
            <w:vAlign w:val="center"/>
            <w:hideMark/>
          </w:tcPr>
          <w:p w14:paraId="7D202402" w14:textId="5311A742" w:rsidR="0019395A" w:rsidRPr="00CE1ACE" w:rsidRDefault="00E36B8C" w:rsidP="00FA0226">
            <w:pPr>
              <w:pStyle w:val="Caption"/>
              <w:keepNext/>
              <w:jc w:val="right"/>
            </w:pPr>
            <w:r>
              <w:t>5</w:t>
            </w:r>
          </w:p>
        </w:tc>
      </w:tr>
    </w:tbl>
    <w:p w14:paraId="3A5A3C06" w14:textId="77777777" w:rsidR="0019395A" w:rsidRPr="00CE1ACE" w:rsidRDefault="0019395A" w:rsidP="0019395A"/>
    <w:p w14:paraId="32BD7C82" w14:textId="046D4E0F" w:rsidR="0019395A" w:rsidRDefault="0019395A" w:rsidP="0019395A">
      <w:pPr>
        <w:pStyle w:val="BodyText"/>
      </w:pPr>
      <w:r w:rsidRPr="00CE1ACE">
        <w:t xml:space="preserve">Where </w:t>
      </w:r>
      <m:oMath>
        <m:r>
          <w:rPr>
            <w:rFonts w:ascii="Cambria Math" w:hAnsi="Cambria Math"/>
          </w:rPr>
          <m:t>λ</m:t>
        </m:r>
      </m:oMath>
      <w:r w:rsidRPr="00CE1ACE">
        <w:t xml:space="preserve"> is a strike mortality correlation factor, </w:t>
      </w:r>
      <m:oMath>
        <m:r>
          <w:rPr>
            <w:rFonts w:ascii="Cambria Math" w:hAnsi="Cambria Math"/>
          </w:rPr>
          <m:t>N</m:t>
        </m:r>
      </m:oMath>
      <w:r w:rsidRPr="00CE1ACE">
        <w:t xml:space="preserve"> is the number of </w:t>
      </w:r>
      <w:r w:rsidR="00432A47">
        <w:t>blades</w:t>
      </w:r>
      <w:r>
        <w:t>,</w:t>
      </w:r>
      <w:r w:rsidRPr="00CE1ACE">
        <w:t xml:space="preserve"> and </w:t>
      </w:r>
      <m:oMath>
        <m:r>
          <w:rPr>
            <w:rFonts w:ascii="Cambria Math" w:hAnsi="Cambria Math"/>
          </w:rPr>
          <m:t>L</m:t>
        </m:r>
      </m:oMath>
      <w:r w:rsidRPr="00CE1ACE">
        <w:t xml:space="preserve"> is the length of the fish (ft). A correlation factor (λ) </w:t>
      </w:r>
      <w:r>
        <w:t>wa</w:t>
      </w:r>
      <w:r w:rsidRPr="00CE1ACE">
        <w:t xml:space="preserve">s utilized in the Advanced Hydro Turbine (Franke et al. 1997) model to adjust the predictive model results to correspond with documented empirical </w:t>
      </w:r>
      <w:r w:rsidRPr="00CE1ACE">
        <w:lastRenderedPageBreak/>
        <w:t>results. This correlation factor was originally introduced by Von Raben (cited by Bell 1981) because the contact of a fish with a turbine component does not always result in injury or mortality (Bell 1981; Cada 1998). Therefore, Von Raben introduced the correlation factor to adjust the predicted turbine strike results to more closely match empirical results. This factor also extends the applicability of these predictive equations to all injury mechanisms related to the variable NL/D (see above for definition of parameters). As stated in Franke et al. (1997) "</w:t>
      </w:r>
      <w:r w:rsidRPr="00CE1ACE">
        <w:rPr>
          <w:i/>
        </w:rPr>
        <w:t>such mechanisms could include mechanical mechanisms leading edge strike and gap grinding as well as fluid induced mechanisms related to flow through gaps or other flow phenomena associated with blades.</w:t>
      </w:r>
      <w:r w:rsidRPr="00CE1ACE">
        <w:t xml:space="preserve">" Based on a substantial number of test results obtained from studies conducted with salmonids on the west coast, Franke et al. (1997) recommends that the correlation factor be set between 0.1 to 0.2. </w:t>
      </w:r>
    </w:p>
    <w:p w14:paraId="51CE4956" w14:textId="712A217A" w:rsidR="00CA4CCD" w:rsidRDefault="00D4433B" w:rsidP="00D4433B">
      <w:pPr>
        <w:pStyle w:val="Heading2"/>
      </w:pPr>
      <w:r>
        <w:t>Simulation</w:t>
      </w:r>
    </w:p>
    <w:p w14:paraId="78534BF7" w14:textId="58B07662" w:rsidR="00D4433B" w:rsidRDefault="00D4433B" w:rsidP="00D4433B">
      <w:r>
        <w:t>Isha – please describe simulation</w:t>
      </w:r>
    </w:p>
    <w:p w14:paraId="04BA8617" w14:textId="6DD548B4" w:rsidR="00D4433B" w:rsidRDefault="00D4433B" w:rsidP="00D4433B">
      <w:pPr>
        <w:pStyle w:val="Heading1"/>
      </w:pPr>
      <w:r>
        <w:t>Results</w:t>
      </w:r>
    </w:p>
    <w:p w14:paraId="2A5304AC" w14:textId="7A5D86D2" w:rsidR="00D4433B" w:rsidRDefault="00D4433B" w:rsidP="00D4433B">
      <w:pPr>
        <w:rPr>
          <w:lang w:val="en"/>
        </w:rPr>
      </w:pPr>
      <w:r>
        <w:rPr>
          <w:lang w:val="en"/>
        </w:rPr>
        <w:t>Isha – please describe results</w:t>
      </w:r>
    </w:p>
    <w:p w14:paraId="710A2105" w14:textId="77777777" w:rsidR="00D4433B" w:rsidRPr="00D4433B" w:rsidRDefault="00D4433B" w:rsidP="00D4433B">
      <w:pPr>
        <w:rPr>
          <w:lang w:val="en"/>
        </w:rPr>
      </w:pPr>
    </w:p>
    <w:p w14:paraId="0FDBF75A" w14:textId="77777777" w:rsidR="001348D2" w:rsidRPr="001348D2" w:rsidRDefault="001348D2" w:rsidP="001348D2"/>
    <w:p w14:paraId="754FCB36" w14:textId="77777777" w:rsidR="00AB397B" w:rsidRPr="00AB397B" w:rsidRDefault="00AB397B" w:rsidP="00AB397B"/>
    <w:sectPr w:rsidR="00AB397B" w:rsidRPr="00AB3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82D89" w14:textId="77777777" w:rsidR="00E149AA" w:rsidRDefault="00E149AA" w:rsidP="00AF6718">
      <w:pPr>
        <w:spacing w:before="0" w:after="0" w:line="240" w:lineRule="auto"/>
      </w:pPr>
      <w:r>
        <w:separator/>
      </w:r>
    </w:p>
  </w:endnote>
  <w:endnote w:type="continuationSeparator" w:id="0">
    <w:p w14:paraId="2EF3DC33" w14:textId="77777777" w:rsidR="00E149AA" w:rsidRDefault="00E149AA" w:rsidP="00AF67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EF849" w14:textId="77777777" w:rsidR="00E149AA" w:rsidRDefault="00E149AA" w:rsidP="00AF6718">
      <w:pPr>
        <w:spacing w:before="0" w:after="0" w:line="240" w:lineRule="auto"/>
      </w:pPr>
      <w:r>
        <w:separator/>
      </w:r>
    </w:p>
  </w:footnote>
  <w:footnote w:type="continuationSeparator" w:id="0">
    <w:p w14:paraId="3D633290" w14:textId="77777777" w:rsidR="00E149AA" w:rsidRDefault="00E149AA" w:rsidP="00AF6718">
      <w:pPr>
        <w:spacing w:before="0" w:after="0" w:line="240" w:lineRule="auto"/>
      </w:pPr>
      <w:r>
        <w:continuationSeparator/>
      </w:r>
    </w:p>
  </w:footnote>
  <w:footnote w:id="1">
    <w:p w14:paraId="44C700DB" w14:textId="75EB0D89" w:rsidR="00AF6718" w:rsidRDefault="00AF6718">
      <w:pPr>
        <w:pStyle w:val="FootnoteText"/>
      </w:pPr>
      <w:r>
        <w:rPr>
          <w:rStyle w:val="FootnoteReference"/>
        </w:rPr>
        <w:footnoteRef/>
      </w:r>
      <w:r>
        <w:t xml:space="preserve"> </w:t>
      </w:r>
      <w:hyperlink r:id="rId1" w:history="1">
        <w:r>
          <w:rPr>
            <w:rStyle w:val="Hyperlink"/>
          </w:rPr>
          <w:t>https://github.com/knebiolo/stryke</w:t>
        </w:r>
      </w:hyperlink>
    </w:p>
  </w:footnote>
  <w:footnote w:id="2">
    <w:p w14:paraId="15DDDAED" w14:textId="74F5FD38" w:rsidR="00281D4C" w:rsidRDefault="00281D4C">
      <w:pPr>
        <w:pStyle w:val="FootnoteText"/>
      </w:pPr>
      <w:r>
        <w:rPr>
          <w:rStyle w:val="FootnoteReference"/>
        </w:rPr>
        <w:footnoteRef/>
      </w:r>
      <w:r>
        <w:t xml:space="preserve"> </w:t>
      </w:r>
      <w:hyperlink r:id="rId2" w:history="1">
        <w:r>
          <w:rPr>
            <w:rStyle w:val="Hyperlink"/>
          </w:rPr>
          <w:t>https://www.sqlite.org/index.html</w:t>
        </w:r>
      </w:hyperlink>
    </w:p>
  </w:footnote>
  <w:footnote w:id="3">
    <w:p w14:paraId="78FCD898" w14:textId="71C1399A" w:rsidR="00281D4C" w:rsidRDefault="00281D4C">
      <w:pPr>
        <w:pStyle w:val="FootnoteText"/>
      </w:pPr>
      <w:r>
        <w:rPr>
          <w:rStyle w:val="FootnoteReference"/>
        </w:rPr>
        <w:footnoteRef/>
      </w:r>
      <w:r>
        <w:t xml:space="preserve"> </w:t>
      </w:r>
      <w:hyperlink r:id="rId3" w:history="1">
        <w:r>
          <w:rPr>
            <w:rStyle w:val="Hyperlink"/>
          </w:rPr>
          <w:t>https://networkx.github.io/</w:t>
        </w:r>
      </w:hyperlink>
    </w:p>
  </w:footnote>
  <w:footnote w:id="4">
    <w:p w14:paraId="2158422E" w14:textId="6B887797" w:rsidR="009D3DDF" w:rsidRDefault="009D3DDF">
      <w:pPr>
        <w:pStyle w:val="FootnoteText"/>
      </w:pPr>
      <w:r>
        <w:rPr>
          <w:rStyle w:val="FootnoteReference"/>
        </w:rPr>
        <w:footnoteRef/>
      </w:r>
      <w:r>
        <w:t xml:space="preserve"> </w:t>
      </w:r>
      <w:hyperlink r:id="rId4" w:history="1">
        <w:r>
          <w:rPr>
            <w:rStyle w:val="Hyperlink"/>
          </w:rPr>
          <w:t>https://numpy.org/</w:t>
        </w:r>
      </w:hyperlink>
    </w:p>
  </w:footnote>
  <w:footnote w:id="5">
    <w:p w14:paraId="7849A8F5" w14:textId="3456B83C" w:rsidR="0027385E" w:rsidRDefault="0027385E">
      <w:pPr>
        <w:pStyle w:val="FootnoteText"/>
      </w:pPr>
      <w:r>
        <w:rPr>
          <w:rStyle w:val="FootnoteReference"/>
        </w:rPr>
        <w:footnoteRef/>
      </w:r>
      <w:r>
        <w:t xml:space="preserve"> </w:t>
      </w:r>
      <w:hyperlink r:id="rId5" w:history="1">
        <w:r>
          <w:rPr>
            <w:rStyle w:val="Hyperlink"/>
          </w:rPr>
          <w:t>https://www.fws.gov/northeast/fisheries/fishpassageengineering.html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B1CA0"/>
    <w:multiLevelType w:val="multilevel"/>
    <w:tmpl w:val="5A7CB4A2"/>
    <w:lvl w:ilvl="0">
      <w:start w:val="1"/>
      <w:numFmt w:val="decimal"/>
      <w:pStyle w:val="Heading1"/>
      <w:lvlText w:val="%1.0"/>
      <w:lvlJc w:val="left"/>
      <w:pPr>
        <w:tabs>
          <w:tab w:val="num" w:pos="720"/>
        </w:tabs>
        <w:ind w:left="720" w:hanging="720"/>
      </w:pPr>
      <w:rPr>
        <w:rFonts w:ascii="Times New Roman" w:hAnsi="Times New Roman" w:cs="Times New Roman" w:hint="default"/>
        <w:b/>
        <w:bCs w:val="0"/>
        <w:i/>
        <w:iCs w:val="0"/>
        <w:caps w:val="0"/>
        <w:smallCaps w:val="0"/>
        <w:strike w:val="0"/>
        <w:dstrike w:val="0"/>
        <w:outline w:val="0"/>
        <w:shadow w:val="0"/>
        <w:emboss w:val="0"/>
        <w:imprint w:val="0"/>
        <w:noProof w:val="0"/>
        <w:snapToGrid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18"/>
    <w:rsid w:val="000110D3"/>
    <w:rsid w:val="00013A7F"/>
    <w:rsid w:val="000269FF"/>
    <w:rsid w:val="00043D34"/>
    <w:rsid w:val="00064C9D"/>
    <w:rsid w:val="000825F3"/>
    <w:rsid w:val="000A507C"/>
    <w:rsid w:val="000A622F"/>
    <w:rsid w:val="000A67CB"/>
    <w:rsid w:val="000D2711"/>
    <w:rsid w:val="00132F7D"/>
    <w:rsid w:val="001348D2"/>
    <w:rsid w:val="0014798B"/>
    <w:rsid w:val="00147D84"/>
    <w:rsid w:val="00152CD7"/>
    <w:rsid w:val="0019395A"/>
    <w:rsid w:val="001B3217"/>
    <w:rsid w:val="001B3DD9"/>
    <w:rsid w:val="001D4710"/>
    <w:rsid w:val="001E32E8"/>
    <w:rsid w:val="001F2E20"/>
    <w:rsid w:val="0020162F"/>
    <w:rsid w:val="00207B5B"/>
    <w:rsid w:val="00207DA9"/>
    <w:rsid w:val="00216950"/>
    <w:rsid w:val="0022054B"/>
    <w:rsid w:val="00230892"/>
    <w:rsid w:val="0027385E"/>
    <w:rsid w:val="00281D4C"/>
    <w:rsid w:val="00286361"/>
    <w:rsid w:val="00286C77"/>
    <w:rsid w:val="002C57BA"/>
    <w:rsid w:val="002F2C82"/>
    <w:rsid w:val="003066E2"/>
    <w:rsid w:val="0032162B"/>
    <w:rsid w:val="0032599D"/>
    <w:rsid w:val="00326818"/>
    <w:rsid w:val="0033062D"/>
    <w:rsid w:val="00341BCB"/>
    <w:rsid w:val="003422E1"/>
    <w:rsid w:val="0034418E"/>
    <w:rsid w:val="00356BD4"/>
    <w:rsid w:val="0035721B"/>
    <w:rsid w:val="00384118"/>
    <w:rsid w:val="003A1DB5"/>
    <w:rsid w:val="003A2F71"/>
    <w:rsid w:val="003E500F"/>
    <w:rsid w:val="003E72C9"/>
    <w:rsid w:val="003F39C4"/>
    <w:rsid w:val="00432A47"/>
    <w:rsid w:val="00434539"/>
    <w:rsid w:val="004529E3"/>
    <w:rsid w:val="00454036"/>
    <w:rsid w:val="00454066"/>
    <w:rsid w:val="00476590"/>
    <w:rsid w:val="00480AC3"/>
    <w:rsid w:val="004A207D"/>
    <w:rsid w:val="004A4758"/>
    <w:rsid w:val="004C53DA"/>
    <w:rsid w:val="0051153B"/>
    <w:rsid w:val="00512BE4"/>
    <w:rsid w:val="00561012"/>
    <w:rsid w:val="00561A7D"/>
    <w:rsid w:val="00564907"/>
    <w:rsid w:val="0058230E"/>
    <w:rsid w:val="00583681"/>
    <w:rsid w:val="00595CEA"/>
    <w:rsid w:val="00596223"/>
    <w:rsid w:val="005A0C56"/>
    <w:rsid w:val="005A1DCF"/>
    <w:rsid w:val="005A6802"/>
    <w:rsid w:val="005B13F3"/>
    <w:rsid w:val="005D233A"/>
    <w:rsid w:val="005D4748"/>
    <w:rsid w:val="00604BE5"/>
    <w:rsid w:val="00624608"/>
    <w:rsid w:val="0064728F"/>
    <w:rsid w:val="0065715B"/>
    <w:rsid w:val="00675C42"/>
    <w:rsid w:val="00681C1E"/>
    <w:rsid w:val="00686790"/>
    <w:rsid w:val="006A7A16"/>
    <w:rsid w:val="006E068D"/>
    <w:rsid w:val="006E1E15"/>
    <w:rsid w:val="006F3E8F"/>
    <w:rsid w:val="0070414B"/>
    <w:rsid w:val="007141D7"/>
    <w:rsid w:val="00720E8E"/>
    <w:rsid w:val="00761F47"/>
    <w:rsid w:val="007772BF"/>
    <w:rsid w:val="00785F9A"/>
    <w:rsid w:val="00787EF0"/>
    <w:rsid w:val="007A010D"/>
    <w:rsid w:val="007A57C0"/>
    <w:rsid w:val="007B0F4A"/>
    <w:rsid w:val="007B7703"/>
    <w:rsid w:val="007C3203"/>
    <w:rsid w:val="007C7C2D"/>
    <w:rsid w:val="007D65CC"/>
    <w:rsid w:val="0080384F"/>
    <w:rsid w:val="00806C0A"/>
    <w:rsid w:val="00814771"/>
    <w:rsid w:val="00827EDD"/>
    <w:rsid w:val="00860EE7"/>
    <w:rsid w:val="008634E7"/>
    <w:rsid w:val="0087054D"/>
    <w:rsid w:val="00871D3B"/>
    <w:rsid w:val="0087577A"/>
    <w:rsid w:val="00891E29"/>
    <w:rsid w:val="008B7197"/>
    <w:rsid w:val="008C4E1A"/>
    <w:rsid w:val="00915893"/>
    <w:rsid w:val="00926288"/>
    <w:rsid w:val="009514C9"/>
    <w:rsid w:val="009619F7"/>
    <w:rsid w:val="0097421B"/>
    <w:rsid w:val="009742B3"/>
    <w:rsid w:val="009A6942"/>
    <w:rsid w:val="009D3DDF"/>
    <w:rsid w:val="009D7A15"/>
    <w:rsid w:val="009E3C8A"/>
    <w:rsid w:val="009E7302"/>
    <w:rsid w:val="009F6A26"/>
    <w:rsid w:val="00A168E9"/>
    <w:rsid w:val="00A217A2"/>
    <w:rsid w:val="00A25FC3"/>
    <w:rsid w:val="00A42A03"/>
    <w:rsid w:val="00A75BFA"/>
    <w:rsid w:val="00AB293A"/>
    <w:rsid w:val="00AB397B"/>
    <w:rsid w:val="00AB6521"/>
    <w:rsid w:val="00AC69B2"/>
    <w:rsid w:val="00AD0816"/>
    <w:rsid w:val="00AD1904"/>
    <w:rsid w:val="00AD3D89"/>
    <w:rsid w:val="00AF251C"/>
    <w:rsid w:val="00AF6718"/>
    <w:rsid w:val="00AF6727"/>
    <w:rsid w:val="00B00B88"/>
    <w:rsid w:val="00B1122C"/>
    <w:rsid w:val="00B257E7"/>
    <w:rsid w:val="00B311A8"/>
    <w:rsid w:val="00B60C38"/>
    <w:rsid w:val="00B67664"/>
    <w:rsid w:val="00BA5F17"/>
    <w:rsid w:val="00BB593B"/>
    <w:rsid w:val="00C07892"/>
    <w:rsid w:val="00C11FCA"/>
    <w:rsid w:val="00C134D6"/>
    <w:rsid w:val="00C24225"/>
    <w:rsid w:val="00C34A87"/>
    <w:rsid w:val="00C71ECC"/>
    <w:rsid w:val="00C82AC5"/>
    <w:rsid w:val="00C946C3"/>
    <w:rsid w:val="00CA0562"/>
    <w:rsid w:val="00CA4CCD"/>
    <w:rsid w:val="00CD0658"/>
    <w:rsid w:val="00CF41E7"/>
    <w:rsid w:val="00D079B8"/>
    <w:rsid w:val="00D15A9E"/>
    <w:rsid w:val="00D4433B"/>
    <w:rsid w:val="00D71BCB"/>
    <w:rsid w:val="00D87042"/>
    <w:rsid w:val="00DC079A"/>
    <w:rsid w:val="00DD7A06"/>
    <w:rsid w:val="00DF0156"/>
    <w:rsid w:val="00E03FCC"/>
    <w:rsid w:val="00E13886"/>
    <w:rsid w:val="00E149AA"/>
    <w:rsid w:val="00E36B8C"/>
    <w:rsid w:val="00E448D8"/>
    <w:rsid w:val="00E62EBF"/>
    <w:rsid w:val="00E83066"/>
    <w:rsid w:val="00E86EEF"/>
    <w:rsid w:val="00E979F7"/>
    <w:rsid w:val="00EC6E7D"/>
    <w:rsid w:val="00ED118A"/>
    <w:rsid w:val="00ED13B1"/>
    <w:rsid w:val="00EE1B45"/>
    <w:rsid w:val="00F16451"/>
    <w:rsid w:val="00F513CB"/>
    <w:rsid w:val="00F62B87"/>
    <w:rsid w:val="00F7372A"/>
    <w:rsid w:val="00F94740"/>
    <w:rsid w:val="00F96D02"/>
    <w:rsid w:val="00FA6357"/>
    <w:rsid w:val="00FB0115"/>
    <w:rsid w:val="00FB1023"/>
    <w:rsid w:val="00FB210D"/>
    <w:rsid w:val="00FB7368"/>
    <w:rsid w:val="00FC2720"/>
    <w:rsid w:val="00FE0498"/>
    <w:rsid w:val="00FE0904"/>
    <w:rsid w:val="00FE14A6"/>
    <w:rsid w:val="00FF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2A29"/>
  <w15:chartTrackingRefBased/>
  <w15:docId w15:val="{765797A7-EE01-41CE-8B5D-CB0B15A5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51"/>
    <w:pPr>
      <w:spacing w:before="120" w:after="120" w:line="360" w:lineRule="auto"/>
    </w:pPr>
    <w:rPr>
      <w:rFonts w:ascii="Times New Roman" w:hAnsi="Times New Roman" w:cs="Times New Roman"/>
      <w:sz w:val="24"/>
      <w:szCs w:val="24"/>
    </w:rPr>
  </w:style>
  <w:style w:type="paragraph" w:styleId="Heading1">
    <w:name w:val="heading 1"/>
    <w:basedOn w:val="Normal"/>
    <w:next w:val="Normal"/>
    <w:link w:val="Heading1Char"/>
    <w:autoRedefine/>
    <w:qFormat/>
    <w:rsid w:val="00F16451"/>
    <w:pPr>
      <w:keepNext/>
      <w:numPr>
        <w:numId w:val="10"/>
      </w:numPr>
      <w:outlineLvl w:val="0"/>
    </w:pPr>
    <w:rPr>
      <w:rFonts w:ascii="Times New Roman Bold" w:hAnsi="Times New Roman Bold" w:cs="Arial"/>
      <w:b/>
      <w:bCs/>
      <w:caps/>
      <w:kern w:val="32"/>
      <w:lang w:val="en"/>
    </w:rPr>
  </w:style>
  <w:style w:type="paragraph" w:styleId="Heading2">
    <w:name w:val="heading 2"/>
    <w:basedOn w:val="Normal"/>
    <w:next w:val="Normal"/>
    <w:link w:val="Heading2Char"/>
    <w:autoRedefine/>
    <w:qFormat/>
    <w:rsid w:val="00F16451"/>
    <w:pPr>
      <w:keepNext/>
      <w:numPr>
        <w:ilvl w:val="1"/>
        <w:numId w:val="9"/>
      </w:numPr>
      <w:outlineLvl w:val="1"/>
    </w:pPr>
    <w:rPr>
      <w:rFonts w:eastAsiaTheme="minorHAnsi" w:cs="Arial"/>
      <w:bCs/>
      <w:iCs/>
      <w:u w:val="single"/>
    </w:rPr>
  </w:style>
  <w:style w:type="paragraph" w:styleId="Heading3">
    <w:name w:val="heading 3"/>
    <w:basedOn w:val="Normal"/>
    <w:next w:val="Normal"/>
    <w:link w:val="Heading3Char"/>
    <w:autoRedefine/>
    <w:qFormat/>
    <w:rsid w:val="00F16451"/>
    <w:pPr>
      <w:keepNext/>
      <w:numPr>
        <w:ilvl w:val="2"/>
        <w:numId w:val="10"/>
      </w:numPr>
      <w:outlineLvl w:val="2"/>
    </w:pPr>
    <w:rPr>
      <w:rFonts w:cs="Arial"/>
      <w:bCs/>
      <w:szCs w:val="26"/>
      <w:u w:val="single"/>
    </w:rPr>
  </w:style>
  <w:style w:type="paragraph" w:styleId="Heading4">
    <w:name w:val="heading 4"/>
    <w:basedOn w:val="Normal"/>
    <w:next w:val="Normal"/>
    <w:link w:val="Heading4Char"/>
    <w:autoRedefine/>
    <w:qFormat/>
    <w:rsid w:val="00F16451"/>
    <w:pPr>
      <w:keepNext/>
      <w:numPr>
        <w:ilvl w:val="3"/>
        <w:numId w:val="10"/>
      </w:numPr>
      <w:spacing w:before="240" w:after="60"/>
      <w:outlineLvl w:val="3"/>
    </w:pPr>
    <w:rPr>
      <w:bCs/>
      <w:szCs w:val="28"/>
    </w:rPr>
  </w:style>
  <w:style w:type="paragraph" w:styleId="Heading5">
    <w:name w:val="heading 5"/>
    <w:basedOn w:val="Normal"/>
    <w:next w:val="Normal"/>
    <w:link w:val="Heading5Char"/>
    <w:autoRedefine/>
    <w:qFormat/>
    <w:rsid w:val="00F16451"/>
    <w:pPr>
      <w:spacing w:before="240" w:after="60"/>
      <w:outlineLvl w:val="4"/>
    </w:pPr>
    <w:rPr>
      <w:b/>
      <w:bCs/>
      <w:i/>
      <w:iCs/>
      <w:sz w:val="26"/>
      <w:szCs w:val="26"/>
    </w:rPr>
  </w:style>
  <w:style w:type="paragraph" w:styleId="Heading6">
    <w:name w:val="heading 6"/>
    <w:basedOn w:val="Normal"/>
    <w:next w:val="Normal"/>
    <w:link w:val="Heading6Char"/>
    <w:autoRedefine/>
    <w:qFormat/>
    <w:rsid w:val="00F16451"/>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6451"/>
    <w:rPr>
      <w:rFonts w:ascii="Times New Roman Bold" w:eastAsia="Times New Roman" w:hAnsi="Times New Roman Bold" w:cs="Arial"/>
      <w:b/>
      <w:bCs/>
      <w:caps/>
      <w:kern w:val="32"/>
      <w:sz w:val="24"/>
      <w:szCs w:val="24"/>
      <w:lang w:val="en"/>
    </w:rPr>
  </w:style>
  <w:style w:type="character" w:customStyle="1" w:styleId="Heading2Char">
    <w:name w:val="Heading 2 Char"/>
    <w:link w:val="Heading2"/>
    <w:rsid w:val="00F16451"/>
    <w:rPr>
      <w:rFonts w:ascii="Times New Roman" w:hAnsi="Times New Roman" w:cs="Arial"/>
      <w:bCs/>
      <w:iCs/>
      <w:sz w:val="24"/>
      <w:szCs w:val="24"/>
      <w:u w:val="single"/>
    </w:rPr>
  </w:style>
  <w:style w:type="character" w:customStyle="1" w:styleId="Heading3Char">
    <w:name w:val="Heading 3 Char"/>
    <w:basedOn w:val="DefaultParagraphFont"/>
    <w:link w:val="Heading3"/>
    <w:rsid w:val="00F16451"/>
    <w:rPr>
      <w:rFonts w:ascii="Times New Roman" w:eastAsia="Times New Roman" w:hAnsi="Times New Roman" w:cs="Arial"/>
      <w:bCs/>
      <w:sz w:val="24"/>
      <w:szCs w:val="26"/>
      <w:u w:val="single"/>
    </w:rPr>
  </w:style>
  <w:style w:type="character" w:customStyle="1" w:styleId="Heading4Char">
    <w:name w:val="Heading 4 Char"/>
    <w:basedOn w:val="DefaultParagraphFont"/>
    <w:link w:val="Heading4"/>
    <w:rsid w:val="00F16451"/>
    <w:rPr>
      <w:rFonts w:ascii="Times New Roman" w:eastAsia="Times New Roman" w:hAnsi="Times New Roman" w:cs="Times New Roman"/>
      <w:bCs/>
      <w:sz w:val="24"/>
      <w:szCs w:val="28"/>
    </w:rPr>
  </w:style>
  <w:style w:type="character" w:customStyle="1" w:styleId="Heading5Char">
    <w:name w:val="Heading 5 Char"/>
    <w:basedOn w:val="DefaultParagraphFont"/>
    <w:link w:val="Heading5"/>
    <w:rsid w:val="00F1645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16451"/>
    <w:rPr>
      <w:rFonts w:ascii="Times New Roman" w:eastAsia="Times New Roman" w:hAnsi="Times New Roman" w:cs="Times New Roman"/>
      <w:b/>
      <w:bCs/>
    </w:rPr>
  </w:style>
  <w:style w:type="paragraph" w:styleId="Title">
    <w:name w:val="Title"/>
    <w:basedOn w:val="Normal"/>
    <w:link w:val="TitleChar"/>
    <w:autoRedefine/>
    <w:qFormat/>
    <w:rsid w:val="00F16451"/>
    <w:pPr>
      <w:jc w:val="center"/>
    </w:pPr>
    <w:rPr>
      <w:b/>
      <w:sz w:val="20"/>
      <w:szCs w:val="20"/>
    </w:rPr>
  </w:style>
  <w:style w:type="character" w:customStyle="1" w:styleId="TitleChar">
    <w:name w:val="Title Char"/>
    <w:basedOn w:val="DefaultParagraphFont"/>
    <w:link w:val="Title"/>
    <w:rsid w:val="00F16451"/>
    <w:rPr>
      <w:rFonts w:ascii="Times New Roman" w:eastAsia="Times New Roman" w:hAnsi="Times New Roman" w:cs="Times New Roman"/>
      <w:b/>
      <w:sz w:val="20"/>
      <w:szCs w:val="20"/>
    </w:rPr>
  </w:style>
  <w:style w:type="paragraph" w:styleId="FootnoteText">
    <w:name w:val="footnote text"/>
    <w:basedOn w:val="Normal"/>
    <w:link w:val="FootnoteTextChar"/>
    <w:uiPriority w:val="99"/>
    <w:semiHidden/>
    <w:unhideWhenUsed/>
    <w:rsid w:val="00AF671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F6718"/>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F6718"/>
    <w:rPr>
      <w:vertAlign w:val="superscript"/>
    </w:rPr>
  </w:style>
  <w:style w:type="character" w:styleId="Hyperlink">
    <w:name w:val="Hyperlink"/>
    <w:basedOn w:val="DefaultParagraphFont"/>
    <w:uiPriority w:val="99"/>
    <w:semiHidden/>
    <w:unhideWhenUsed/>
    <w:rsid w:val="00AF6718"/>
    <w:rPr>
      <w:color w:val="0000FF"/>
      <w:u w:val="single"/>
    </w:rPr>
  </w:style>
  <w:style w:type="paragraph" w:customStyle="1" w:styleId="BodyText">
    <w:name w:val="BodyText"/>
    <w:basedOn w:val="Normal"/>
    <w:qFormat/>
    <w:rsid w:val="00561A7D"/>
    <w:pPr>
      <w:spacing w:before="0" w:after="240"/>
    </w:pPr>
    <w:rPr>
      <w:rFonts w:cstheme="minorBidi"/>
    </w:rPr>
  </w:style>
  <w:style w:type="paragraph" w:styleId="Caption">
    <w:name w:val="caption"/>
    <w:basedOn w:val="Normal"/>
    <w:next w:val="Normal"/>
    <w:qFormat/>
    <w:rsid w:val="00814771"/>
    <w:pPr>
      <w:spacing w:line="240" w:lineRule="auto"/>
      <w:ind w:left="1440" w:hanging="1440"/>
    </w:pPr>
    <w:rPr>
      <w:rFonts w:cstheme="minorBidi"/>
      <w:b/>
      <w:bCs/>
      <w:smallCaps/>
      <w:szCs w:val="20"/>
    </w:rPr>
  </w:style>
  <w:style w:type="table" w:styleId="TableGrid">
    <w:name w:val="Table Grid"/>
    <w:basedOn w:val="TableNormal"/>
    <w:uiPriority w:val="39"/>
    <w:rsid w:val="0081477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networkx.github.io/" TargetMode="External"/><Relationship Id="rId2" Type="http://schemas.openxmlformats.org/officeDocument/2006/relationships/hyperlink" Target="https://www.sqlite.org/index.html" TargetMode="External"/><Relationship Id="rId1" Type="http://schemas.openxmlformats.org/officeDocument/2006/relationships/hyperlink" Target="https://github.com/knebiolo/stryke" TargetMode="External"/><Relationship Id="rId5" Type="http://schemas.openxmlformats.org/officeDocument/2006/relationships/hyperlink" Target="https://www.fws.gov/northeast/fisheries/fishpassageengineering.html" TargetMode="External"/><Relationship Id="rId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05CE96E6EAB043A375AD3A8D6A547F" ma:contentTypeVersion="5" ma:contentTypeDescription="Create a new document." ma:contentTypeScope="" ma:versionID="b1a628e4d50039b7163e86979c36581e">
  <xsd:schema xmlns:xsd="http://www.w3.org/2001/XMLSchema" xmlns:xs="http://www.w3.org/2001/XMLSchema" xmlns:p="http://schemas.microsoft.com/office/2006/metadata/properties" xmlns:ns3="72148e06-fba7-4cb7-92ab-6dee1775218a" xmlns:ns4="51f130ad-9634-41c8-9786-fb8cac5e9c7a" targetNamespace="http://schemas.microsoft.com/office/2006/metadata/properties" ma:root="true" ma:fieldsID="3fbeffa648f94d60ee7380b23e79cfc6" ns3:_="" ns4:_="">
    <xsd:import namespace="72148e06-fba7-4cb7-92ab-6dee1775218a"/>
    <xsd:import namespace="51f130ad-9634-41c8-9786-fb8cac5e9c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48e06-fba7-4cb7-92ab-6dee1775218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f130ad-9634-41c8-9786-fb8cac5e9c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0924EF-7164-4403-817D-8AA5FAE6C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48e06-fba7-4cb7-92ab-6dee1775218a"/>
    <ds:schemaRef ds:uri="51f130ad-9634-41c8-9786-fb8cac5e9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2264A-DB0F-4CE4-B624-5CD046C8C47E}">
  <ds:schemaRefs>
    <ds:schemaRef ds:uri="http://schemas.openxmlformats.org/officeDocument/2006/bibliography"/>
  </ds:schemaRefs>
</ds:datastoreItem>
</file>

<file path=customXml/itemProps3.xml><?xml version="1.0" encoding="utf-8"?>
<ds:datastoreItem xmlns:ds="http://schemas.openxmlformats.org/officeDocument/2006/customXml" ds:itemID="{99C210A9-0C46-4E80-A4A4-2DAEEDDAFE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F03A1D-5D77-4175-9DB8-8EACC24E4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5</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Nebiolo</dc:creator>
  <cp:keywords/>
  <dc:description/>
  <cp:lastModifiedBy>Kevin Nebiolo</cp:lastModifiedBy>
  <cp:revision>106</cp:revision>
  <dcterms:created xsi:type="dcterms:W3CDTF">2021-06-28T12:57:00Z</dcterms:created>
  <dcterms:modified xsi:type="dcterms:W3CDTF">2021-06-29T14:29:00Z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0x0101008205CE96E6EAB043A375AD3A8D6A547F</vt:lpwstr>
  </property>
</Properties>
</file>