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360" w:before="120" w:after="200"/>
        <w:jc w:val="center"/>
        <w:keepNext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实验三验收记录表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本表根据原验收模板扩展为实验三八项检查，训练仿真 50 分、硬件实测 50 分。预填内容仅为证据摘要，教师现场逐项评分并签字；没有预填通过或分数。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内容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组号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待填写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成员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黄成 26011211112；贺孟文 26011211132；张逸帆 26011211104；党钰晋 26011211341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实验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实验三 手写数字识别的 AI 部署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验收日期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待现场填写</w:t>
            </w:r>
          </w:p>
        </w:tc>
      </w:tr>
    </w:tbl>
    <w:p>
      <w:pPr>
        <w:spacing w:after="60" w:line="60" w:lineRule="exact"/>
      </w:pP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50"/>
        <w:gridCol w:w="750"/>
        <w:gridCol w:w="4366"/>
        <w:gridCol w:w="1100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检查项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满分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现有证据或待验内容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教师评分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模型训练与测试精度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完整 MNIST 浮点 96.57%、定点 96.60%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量化定点方案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15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8 位权重及激活、32 位累加；上界证明与精度对照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同源定点 C 仿真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15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10000 类别、100000 分数与整数参考完全一致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设计决策与论证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FC 结构、量化、协议、资源和计时说明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手写到数码管闭环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15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13 次手写响应成功；同帧显示及最右位待现场确认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连续 5 次现场识别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15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4–5 正确为满分档，3 正确为合格档；待现场记录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错包及乱码恢复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RTL 已验证；故障注入及恢复板测待完成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时间统计与优化实测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基线 100 帧均值 72.40792 ms；优化对照待板测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____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4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合计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7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100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43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训练仿真小计 ____/50；硬件小计 ____/50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1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__/100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现场验收折算：小计 × 60% = ______；报告成绩 × 40% = ______；实验总评 = 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达成情况：□ 通过　□ 整改后通过　□ 未通过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整改要求：________________________________________________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加分项记录（每实验最多 +3）：_______________________________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教师签字：________________　日期：________________</w:t>
      </w:r>
    </w:p>
    <w:p>
      <w:pPr>
        <w:spacing w:line="312" w:before="60" w:after="60"/>
        <w:ind w:firstLine="0"/>
        <w:jc w:val="both"/>
        <w:pageBreakBefore/>
        <w:keepNext/>
      </w:pPr>
      <w:r>
        <w:rPr>
          <w:b/>
          <w:bCs/>
          <w:sz w:val="28"/>
          <w:szCs w:val="24"/>
          <w:rFonts w:ascii="Times New Roman" w:eastAsia="宋体"/>
        </w:rPr>
        <w:t xml:space="preserve">现场识别与优化数据记录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串口：COM7。实际固件路径与 SHA-256：________________________。物理最右位编号：______；GUI、数码管、LED 是否一致：______。同帧照片路径：________________。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1600"/>
        <w:gridCol w:w="1420"/>
        <w:gridCol w:w="1420"/>
        <w:gridCol w:w="1420"/>
        <w:gridCol w:w="1420"/>
        <w:gridCol w:w="138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连续次序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书写者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真实标签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FPGA 类别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是否正确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端到端 ms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2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3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4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5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待填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五次须连续保留，不能删除错误或超时后重新起算；先记录真实标签再发送。手写准确率与通信成功率分别统计。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1600"/>
        <w:gridCol w:w="1420"/>
        <w:gridCol w:w="1420"/>
        <w:gridCol w:w="1420"/>
        <w:gridCol w:w="1420"/>
        <w:gridCol w:w="138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波特率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正式帧数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失败/不一致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均值 ms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P95 ms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对基线降幅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115200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300，待测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基准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230400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300，待测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</w:tr>
      <w:tr>
        <w:trPr>
          <w:cantSplit/>
          <w:tblHeader/>
        </w:trPr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6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460800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300，待测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2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  <w:tc>
          <w:tcPr>
            <w:shd w:fill="FFFFFF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38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 w:val="0"/>
                <w:bCs w:val="0"/>
                <w:sz w:val="21"/>
                <w:szCs w:val="18"/>
                <w:rFonts w:ascii="Times New Roman" w:eastAsia="宋体"/>
                <w:color w:val="000000"/>
              </w:rPr>
              <w:t xml:space="preserve">待测</w:t>
            </w:r>
          </w:p>
        </w:tc>
      </w:tr>
    </w:tbl>
    <w:p>
      <w:pPr>
        <w:spacing w:after="60" w:line="60" w:lineRule="exact"/>
      </w:pP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三组固定前 100 图各重复 3 次，另存 10 帧预热。均值及 P95 只计算成功事务，同时报告失败；降幅=(基线均值−候选均值)/基线均值。现有 100 帧基线是联调记录，不能冒充本表 300 帧正式对照。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故障注入：8 类异常后有效请求恢复 ____/8；日志：____________。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复位与重连：受影响事务是否如实失败 ______；后续是否恢复 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两人 20 次手写预演：完成 ______；带标签原始记录：____________。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选定配置 1000 帧：成功 ______；失败 ______；参考不一致 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最后选定波特率：______；选定理由与证据目录：________________。</w:t>
      </w:r>
    </w:p>
    <w:p>
      <w:pPr>
        <w:spacing w:line="312" w:before="60" w:after="60"/>
        <w:ind w:firstLine="48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复验意见及签字：__________________________________________。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2026-10-25T13:43:51.921Z</dcterms:created>
  <dcterms:modified xsi:type="dcterms:W3CDTF">2026-10-25T13:43:51.921Z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