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D6A4F"/>
          <w:sz w:val="40"/>
        </w:rPr>
        <w:t>FarmConnect — Database Optimization &amp; Advanced DBMS Plan</w:t>
      </w:r>
    </w:p>
    <w:p>
      <w:pPr>
        <w:spacing w:before="0" w:after="240"/>
      </w:pPr>
      <w:r>
        <w:rPr>
          <w:rFonts w:ascii="Calibri" w:hAnsi="Calibri"/>
          <w:i/>
          <w:color w:val="4B5563"/>
          <w:sz w:val="22"/>
        </w:rPr>
        <w:t>Comprehensive Technical Blueprint: BCNF Normalization, PostgreSQL Stored Procedures, ACID Triggers, Indexes &amp; Audit Architecture</w:t>
      </w:r>
    </w:p>
    <w:p>
      <w:pPr>
        <w:spacing w:before="0" w:after="200"/>
      </w:pPr>
      <w:r>
        <w:rPr>
          <w:color w:val="86EFAC"/>
        </w:rPr>
        <w:t>―――――――――――――――――――――――――――――――――――――――――――――――――――――――――――――――――</w:t>
      </w:r>
    </w:p>
    <w:p>
      <w:pPr>
        <w:keepNext/>
        <w:spacing w:before="280" w:after="80"/>
      </w:pPr>
      <w:r>
        <w:rPr>
          <w:rFonts w:ascii="Calibri" w:hAnsi="Calibri"/>
          <w:b/>
          <w:color w:val="2D6A4F"/>
          <w:sz w:val="30"/>
        </w:rPr>
        <w:t>1. Executive Summary &amp; Goals</w:t>
      </w:r>
    </w:p>
    <w:p>
      <w:pPr>
        <w:spacing w:before="40" w:after="60" w:line="276" w:lineRule="auto"/>
      </w:pPr>
      <w:r>
        <w:rPr>
          <w:rFonts w:ascii="Calibri" w:hAnsi="Calibri"/>
          <w:color w:val="1F2937"/>
          <w:sz w:val="20"/>
        </w:rPr>
        <w:t>This technical blueprint specifies the end-to-end upgrade of the FarmConnect database layer in PostgreSQL. The primary objectives are: (1) achieve the highest practical normal form (BCNF) across all relational entities, (2) shift critical business logic, calculations, and data synchronization from application memory into native PostgreSQL stored procedures and triggers, (3) eliminate the N+1 query bottleneck currently slowing the product catalog, and (4) provide clean, documented DBMS artifacts (stored procedures, audit logs, trigger tables, and views) for academic and technical evaluation.</w:t>
      </w:r>
    </w:p>
    <w:p>
      <w:pPr>
        <w:keepNext/>
        <w:spacing w:before="280" w:after="80"/>
      </w:pPr>
      <w:r>
        <w:rPr>
          <w:rFonts w:ascii="Calibri" w:hAnsi="Calibri"/>
          <w:b/>
          <w:color w:val="2D6A4F"/>
          <w:sz w:val="30"/>
        </w:rPr>
        <w:t>2. Database Normalization (Highest Normal Form: BCNF)</w:t>
      </w:r>
    </w:p>
    <w:p>
      <w:pPr>
        <w:spacing w:before="40" w:after="60" w:line="276" w:lineRule="auto"/>
      </w:pPr>
      <w:r>
        <w:rPr>
          <w:rFonts w:ascii="Calibri" w:hAnsi="Calibri"/>
          <w:color w:val="1F2937"/>
          <w:sz w:val="20"/>
        </w:rPr>
        <w:t>The existing schema operates between 2NF and 3NF, but possesses normalization flaws and loose domain constraints. The following modifications will bring all tables into strict Boyce-Codd Normal Form (BCNF), where for every non-trivial functional dependency X → Y, X is a superkey.</w:t>
      </w:r>
    </w:p>
    <w:tbl>
      <w:tblPr>
        <w:tblW w:type="auto" w:w="0"/>
        <w:jc w:val="center"/>
        <w:tblLook w:firstColumn="1" w:firstRow="1" w:lastColumn="0" w:lastRow="0" w:noHBand="0" w:noVBand="1" w:val="04A0"/>
      </w:tblPr>
      <w:tblGrid>
        <w:gridCol w:w="2484"/>
        <w:gridCol w:w="2484"/>
        <w:gridCol w:w="2484"/>
        <w:gridCol w:w="2484"/>
      </w:tblGrid>
      <w:tr>
        <w:tc>
          <w:tcPr>
            <w:tcW w:type="dxa" w:w="2484"/>
            <w:shd w:fill="2D6A4F"/>
          </w:tcPr>
          <w:p>
            <w:pPr>
              <w:spacing w:before="60" w:after="60" w:line="276" w:lineRule="auto"/>
              <w:jc w:val="left"/>
            </w:pPr>
            <w:r>
              <w:rPr>
                <w:rFonts w:ascii="Calibri" w:hAnsi="Calibri"/>
                <w:b/>
                <w:color w:val="FFFFFF"/>
                <w:sz w:val="19"/>
              </w:rPr>
              <w:t>Table Name</w:t>
            </w:r>
          </w:p>
        </w:tc>
        <w:tc>
          <w:tcPr>
            <w:tcW w:type="dxa" w:w="2484"/>
            <w:shd w:fill="2D6A4F"/>
          </w:tcPr>
          <w:p>
            <w:pPr>
              <w:spacing w:before="60" w:after="60" w:line="276" w:lineRule="auto"/>
              <w:jc w:val="left"/>
            </w:pPr>
            <w:r>
              <w:rPr>
                <w:rFonts w:ascii="Calibri" w:hAnsi="Calibri"/>
                <w:b/>
                <w:color w:val="FFFFFF"/>
                <w:sz w:val="19"/>
              </w:rPr>
              <w:t>Current Flaw / Violation</w:t>
            </w:r>
          </w:p>
        </w:tc>
        <w:tc>
          <w:tcPr>
            <w:tcW w:type="dxa" w:w="2484"/>
            <w:shd w:fill="2D6A4F"/>
          </w:tcPr>
          <w:p>
            <w:pPr>
              <w:spacing w:before="60" w:after="60" w:line="276" w:lineRule="auto"/>
              <w:jc w:val="left"/>
            </w:pPr>
            <w:r>
              <w:rPr>
                <w:rFonts w:ascii="Calibri" w:hAnsi="Calibri"/>
                <w:b/>
                <w:color w:val="FFFFFF"/>
                <w:sz w:val="19"/>
              </w:rPr>
              <w:t>Normalization Level Achieved</w:t>
            </w:r>
          </w:p>
        </w:tc>
        <w:tc>
          <w:tcPr>
            <w:tcW w:type="dxa" w:w="2484"/>
            <w:shd w:fill="2D6A4F"/>
          </w:tcPr>
          <w:p>
            <w:pPr>
              <w:spacing w:before="60" w:after="60" w:line="276" w:lineRule="auto"/>
              <w:jc w:val="left"/>
            </w:pPr>
            <w:r>
              <w:rPr>
                <w:rFonts w:ascii="Calibri" w:hAnsi="Calibri"/>
                <w:b/>
                <w:color w:val="FFFFFF"/>
                <w:sz w:val="19"/>
              </w:rPr>
              <w:t>Concrete Schema Modification</w:t>
            </w:r>
          </w:p>
        </w:tc>
      </w:tr>
      <w:tr>
        <w:tc>
          <w:tcPr>
            <w:tcW w:type="dxa" w:w="2484"/>
            <w:shd w:fill="F9FAFB"/>
          </w:tcPr>
          <w:p>
            <w:pPr>
              <w:spacing w:before="60" w:after="60" w:line="276" w:lineRule="auto"/>
              <w:jc w:val="left"/>
            </w:pPr>
            <w:r>
              <w:rPr>
                <w:rFonts w:ascii="Calibri" w:hAnsi="Calibri"/>
                <w:b/>
                <w:color w:val="1F2937"/>
                <w:sz w:val="19"/>
              </w:rPr>
              <w:t>farmers_farm</w:t>
            </w:r>
          </w:p>
        </w:tc>
        <w:tc>
          <w:tcPr>
            <w:tcW w:type="dxa" w:w="2484"/>
            <w:shd w:fill="F9FAFB"/>
          </w:tcPr>
          <w:p>
            <w:pPr>
              <w:spacing w:before="60" w:after="60" w:line="276" w:lineRule="auto"/>
              <w:jc w:val="left"/>
            </w:pPr>
            <w:r>
              <w:rPr>
                <w:rFonts w:ascii="Calibri" w:hAnsi="Calibri"/>
                <w:b w:val="0"/>
                <w:color w:val="1F2937"/>
                <w:sz w:val="19"/>
              </w:rPr>
              <w:t>Non-atomic location string ('Nashik, Maharashtra'). Transitive dependency: farm → city → state (3NF violation).</w:t>
            </w:r>
          </w:p>
        </w:tc>
        <w:tc>
          <w:tcPr>
            <w:tcW w:type="dxa" w:w="2484"/>
            <w:shd w:fill="F9FAFB"/>
          </w:tcPr>
          <w:p>
            <w:pPr>
              <w:spacing w:before="60" w:after="60" w:line="276" w:lineRule="auto"/>
              <w:jc w:val="left"/>
            </w:pPr>
            <w:r>
              <w:rPr>
                <w:rFonts w:ascii="Calibri" w:hAnsi="Calibri"/>
                <w:b w:val="0"/>
                <w:color w:val="1F2937"/>
                <w:sz w:val="19"/>
              </w:rPr>
              <w:t>BCNF</w:t>
            </w:r>
          </w:p>
        </w:tc>
        <w:tc>
          <w:tcPr>
            <w:tcW w:type="dxa" w:w="2484"/>
            <w:shd w:fill="F9FAFB"/>
          </w:tcPr>
          <w:p>
            <w:pPr>
              <w:spacing w:before="60" w:after="60" w:line="276" w:lineRule="auto"/>
              <w:jc w:val="left"/>
            </w:pPr>
            <w:r>
              <w:rPr>
                <w:rFonts w:ascii="Calibri" w:hAnsi="Calibri"/>
                <w:b w:val="0"/>
                <w:color w:val="1F2937"/>
                <w:sz w:val="19"/>
              </w:rPr>
              <w:t>Create normalized 'cities_city' table (id, name, state). Replace 'location' with foreign key 'city_id'.</w:t>
            </w:r>
          </w:p>
        </w:tc>
      </w:tr>
      <w:tr>
        <w:tc>
          <w:tcPr>
            <w:tcW w:type="dxa" w:w="2484"/>
            <w:shd w:fill="FFFFFF"/>
          </w:tcPr>
          <w:p>
            <w:pPr>
              <w:spacing w:before="60" w:after="60" w:line="276" w:lineRule="auto"/>
              <w:jc w:val="left"/>
            </w:pPr>
            <w:r>
              <w:rPr>
                <w:rFonts w:ascii="Calibri" w:hAnsi="Calibri"/>
                <w:b/>
                <w:color w:val="1F2937"/>
                <w:sz w:val="19"/>
              </w:rPr>
              <w:t>products_product</w:t>
            </w:r>
          </w:p>
        </w:tc>
        <w:tc>
          <w:tcPr>
            <w:tcW w:type="dxa" w:w="2484"/>
            <w:shd w:fill="FFFFFF"/>
          </w:tcPr>
          <w:p>
            <w:pPr>
              <w:spacing w:before="60" w:after="60" w:line="276" w:lineRule="auto"/>
              <w:jc w:val="left"/>
            </w:pPr>
            <w:r>
              <w:rPr>
                <w:rFonts w:ascii="Calibri" w:hAnsi="Calibri"/>
                <w:b w:val="0"/>
                <w:color w:val="1F2937"/>
                <w:sz w:val="19"/>
              </w:rPr>
              <w:t>Unconstrained varchar category field vulnerable to insert/update anomalies and typographical errors.</w:t>
            </w:r>
          </w:p>
        </w:tc>
        <w:tc>
          <w:tcPr>
            <w:tcW w:type="dxa" w:w="2484"/>
            <w:shd w:fill="FFFFFF"/>
          </w:tcPr>
          <w:p>
            <w:pPr>
              <w:spacing w:before="60" w:after="60" w:line="276" w:lineRule="auto"/>
              <w:jc w:val="left"/>
            </w:pPr>
            <w:r>
              <w:rPr>
                <w:rFonts w:ascii="Calibri" w:hAnsi="Calibri"/>
                <w:b w:val="0"/>
                <w:color w:val="1F2937"/>
                <w:sz w:val="19"/>
              </w:rPr>
              <w:t>BCNF &amp; Domain Integrity</w:t>
            </w:r>
          </w:p>
        </w:tc>
        <w:tc>
          <w:tcPr>
            <w:tcW w:type="dxa" w:w="2484"/>
            <w:shd w:fill="FFFFFF"/>
          </w:tcPr>
          <w:p>
            <w:pPr>
              <w:spacing w:before="60" w:after="60" w:line="276" w:lineRule="auto"/>
              <w:jc w:val="left"/>
            </w:pPr>
            <w:r>
              <w:rPr>
                <w:rFonts w:ascii="Calibri" w:hAnsi="Calibri"/>
                <w:b w:val="0"/>
                <w:color w:val="1F2937"/>
                <w:sz w:val="19"/>
              </w:rPr>
              <w:t>Create lookup table 'products_category' (slug PK, display_name, icon_slug). Product references category slug.</w:t>
            </w:r>
          </w:p>
        </w:tc>
      </w:tr>
      <w:tr>
        <w:tc>
          <w:tcPr>
            <w:tcW w:type="dxa" w:w="2484"/>
            <w:shd w:fill="F9FAFB"/>
          </w:tcPr>
          <w:p>
            <w:pPr>
              <w:spacing w:before="60" w:after="60" w:line="276" w:lineRule="auto"/>
              <w:jc w:val="left"/>
            </w:pPr>
            <w:r>
              <w:rPr>
                <w:rFonts w:ascii="Calibri" w:hAnsi="Calibri"/>
                <w:b/>
                <w:color w:val="1F2937"/>
                <w:sz w:val="19"/>
              </w:rPr>
              <w:t>orders_cartitem</w:t>
            </w:r>
          </w:p>
        </w:tc>
        <w:tc>
          <w:tcPr>
            <w:tcW w:type="dxa" w:w="2484"/>
            <w:shd w:fill="F9FAFB"/>
          </w:tcPr>
          <w:p>
            <w:pPr>
              <w:spacing w:before="60" w:after="60" w:line="276" w:lineRule="auto"/>
              <w:jc w:val="left"/>
            </w:pPr>
            <w:r>
              <w:rPr>
                <w:rFonts w:ascii="Calibri" w:hAnsi="Calibri"/>
                <w:b w:val="0"/>
                <w:color w:val="1F2937"/>
                <w:sz w:val="19"/>
              </w:rPr>
              <w:t>Missing composite unique constraint allowing duplicate rows for identical cart and product.</w:t>
            </w:r>
          </w:p>
        </w:tc>
        <w:tc>
          <w:tcPr>
            <w:tcW w:type="dxa" w:w="2484"/>
            <w:shd w:fill="F9FAFB"/>
          </w:tcPr>
          <w:p>
            <w:pPr>
              <w:spacing w:before="60" w:after="60" w:line="276" w:lineRule="auto"/>
              <w:jc w:val="left"/>
            </w:pPr>
            <w:r>
              <w:rPr>
                <w:rFonts w:ascii="Calibri" w:hAnsi="Calibri"/>
                <w:b w:val="0"/>
                <w:color w:val="1F2937"/>
                <w:sz w:val="19"/>
              </w:rPr>
              <w:t>Entity Integrity (1NF/BCNF)</w:t>
            </w:r>
          </w:p>
        </w:tc>
        <w:tc>
          <w:tcPr>
            <w:tcW w:type="dxa" w:w="2484"/>
            <w:shd w:fill="F9FAFB"/>
          </w:tcPr>
          <w:p>
            <w:pPr>
              <w:spacing w:before="60" w:after="60" w:line="276" w:lineRule="auto"/>
              <w:jc w:val="left"/>
            </w:pPr>
            <w:r>
              <w:rPr>
                <w:rFonts w:ascii="Calibri" w:hAnsi="Calibri"/>
                <w:b w:val="0"/>
                <w:color w:val="1F2937"/>
                <w:sz w:val="19"/>
              </w:rPr>
              <w:t>Enforce composite UNIQUE (cart_id, product_id) at PostgreSQL database level.</w:t>
            </w:r>
          </w:p>
        </w:tc>
      </w:tr>
      <w:tr>
        <w:tc>
          <w:tcPr>
            <w:tcW w:type="dxa" w:w="2484"/>
            <w:shd w:fill="FFFFFF"/>
          </w:tcPr>
          <w:p>
            <w:pPr>
              <w:spacing w:before="60" w:after="60" w:line="276" w:lineRule="auto"/>
              <w:jc w:val="left"/>
            </w:pPr>
            <w:r>
              <w:rPr>
                <w:rFonts w:ascii="Calibri" w:hAnsi="Calibri"/>
                <w:b/>
                <w:color w:val="1F2937"/>
                <w:sz w:val="19"/>
              </w:rPr>
              <w:t>orders_order &amp; orders_payment</w:t>
            </w:r>
          </w:p>
        </w:tc>
        <w:tc>
          <w:tcPr>
            <w:tcW w:type="dxa" w:w="2484"/>
            <w:shd w:fill="FFFFFF"/>
          </w:tcPr>
          <w:p>
            <w:pPr>
              <w:spacing w:before="60" w:after="60" w:line="276" w:lineRule="auto"/>
              <w:jc w:val="left"/>
            </w:pPr>
            <w:r>
              <w:rPr>
                <w:rFonts w:ascii="Calibri" w:hAnsi="Calibri"/>
                <w:b w:val="0"/>
                <w:color w:val="1F2937"/>
                <w:sz w:val="19"/>
              </w:rPr>
              <w:t>total_amount and amount are derived values stored in multiple tables.</w:t>
            </w:r>
          </w:p>
        </w:tc>
        <w:tc>
          <w:tcPr>
            <w:tcW w:type="dxa" w:w="2484"/>
            <w:shd w:fill="FFFFFF"/>
          </w:tcPr>
          <w:p>
            <w:pPr>
              <w:spacing w:before="60" w:after="60" w:line="276" w:lineRule="auto"/>
              <w:jc w:val="left"/>
            </w:pPr>
            <w:r>
              <w:rPr>
                <w:rFonts w:ascii="Calibri" w:hAnsi="Calibri"/>
                <w:b w:val="0"/>
                <w:color w:val="1F2937"/>
                <w:sz w:val="19"/>
              </w:rPr>
              <w:t>Audited Consistency (BCNF)</w:t>
            </w:r>
          </w:p>
        </w:tc>
        <w:tc>
          <w:tcPr>
            <w:tcW w:type="dxa" w:w="2484"/>
            <w:shd w:fill="FFFFFF"/>
          </w:tcPr>
          <w:p>
            <w:pPr>
              <w:spacing w:before="60" w:after="60" w:line="276" w:lineRule="auto"/>
              <w:jc w:val="left"/>
            </w:pPr>
            <w:r>
              <w:rPr>
                <w:rFonts w:ascii="Calibri" w:hAnsi="Calibri"/>
                <w:b w:val="0"/>
                <w:color w:val="1F2937"/>
                <w:sz w:val="19"/>
              </w:rPr>
              <w:t>Maintain fields for fast O(1) reads, but bind them to strict automated triggers to prevent divergence.</w:t>
            </w:r>
          </w:p>
        </w:tc>
      </w:tr>
      <w:tr>
        <w:tc>
          <w:tcPr>
            <w:tcW w:type="dxa" w:w="2484"/>
            <w:shd w:fill="F9FAFB"/>
          </w:tcPr>
          <w:p>
            <w:pPr>
              <w:spacing w:before="60" w:after="60" w:line="276" w:lineRule="auto"/>
              <w:jc w:val="left"/>
            </w:pPr>
            <w:r>
              <w:rPr>
                <w:rFonts w:ascii="Calibri" w:hAnsi="Calibri"/>
                <w:b/>
                <w:color w:val="1F2937"/>
                <w:sz w:val="19"/>
              </w:rPr>
              <w:t>All Numeric Fields</w:t>
            </w:r>
          </w:p>
        </w:tc>
        <w:tc>
          <w:tcPr>
            <w:tcW w:type="dxa" w:w="2484"/>
            <w:shd w:fill="F9FAFB"/>
          </w:tcPr>
          <w:p>
            <w:pPr>
              <w:spacing w:before="60" w:after="60" w:line="276" w:lineRule="auto"/>
              <w:jc w:val="left"/>
            </w:pPr>
            <w:r>
              <w:rPr>
                <w:rFonts w:ascii="Calibri" w:hAnsi="Calibri"/>
                <w:b w:val="0"/>
                <w:color w:val="1F2937"/>
                <w:sz w:val="19"/>
              </w:rPr>
              <w:t>Negative stock, 0-priced produce, and invalid review scores possible via direct SQL.</w:t>
            </w:r>
          </w:p>
        </w:tc>
        <w:tc>
          <w:tcPr>
            <w:tcW w:type="dxa" w:w="2484"/>
            <w:shd w:fill="F9FAFB"/>
          </w:tcPr>
          <w:p>
            <w:pPr>
              <w:spacing w:before="60" w:after="60" w:line="276" w:lineRule="auto"/>
              <w:jc w:val="left"/>
            </w:pPr>
            <w:r>
              <w:rPr>
                <w:rFonts w:ascii="Calibri" w:hAnsi="Calibri"/>
                <w:b w:val="0"/>
                <w:color w:val="1F2937"/>
                <w:sz w:val="19"/>
              </w:rPr>
              <w:t>Domain Constraint Integrity</w:t>
            </w:r>
          </w:p>
        </w:tc>
        <w:tc>
          <w:tcPr>
            <w:tcW w:type="dxa" w:w="2484"/>
            <w:shd w:fill="F9FAFB"/>
          </w:tcPr>
          <w:p>
            <w:pPr>
              <w:spacing w:before="60" w:after="60" w:line="276" w:lineRule="auto"/>
              <w:jc w:val="left"/>
            </w:pPr>
            <w:r>
              <w:rPr>
                <w:rFonts w:ascii="Calibri" w:hAnsi="Calibri"/>
                <w:b w:val="0"/>
                <w:color w:val="1F2937"/>
                <w:sz w:val="19"/>
              </w:rPr>
              <w:t>Enforce CHECK constraints: price &gt; 0, stock &gt;= 0, quantity &gt; 0, review rating BETWEEN 1 AND 5.</w:t>
            </w:r>
          </w:p>
        </w:tc>
      </w:tr>
    </w:tbl>
    <w:p/>
    <w:p>
      <w:pPr>
        <w:keepNext/>
        <w:spacing w:before="280" w:after="80"/>
      </w:pPr>
      <w:r>
        <w:rPr>
          <w:rFonts w:ascii="Calibri" w:hAnsi="Calibri"/>
          <w:b/>
          <w:color w:val="2D6A4F"/>
          <w:sz w:val="30"/>
        </w:rPr>
        <w:t>3. PostgreSQL Triggers (Automated Integrity &amp; Logic)</w:t>
      </w:r>
    </w:p>
    <w:p>
      <w:pPr>
        <w:spacing w:before="40" w:after="60" w:line="276" w:lineRule="auto"/>
      </w:pPr>
      <w:r>
        <w:rPr>
          <w:rFonts w:ascii="Calibri" w:hAnsi="Calibri"/>
          <w:color w:val="1F2937"/>
          <w:sz w:val="20"/>
        </w:rPr>
        <w:t>Triggers enforce immediate data integrity and automated state transitions directly at the database engine level, bypassing latency and race conditions in application-layer code.</w:t>
      </w:r>
    </w:p>
    <w:tbl>
      <w:tblPr>
        <w:tblW w:type="auto" w:w="0"/>
        <w:jc w:val="center"/>
        <w:tblLook w:firstColumn="1" w:firstRow="1" w:lastColumn="0" w:lastRow="0" w:noHBand="0" w:noVBand="1" w:val="04A0"/>
      </w:tblPr>
      <w:tblGrid>
        <w:gridCol w:w="2484"/>
        <w:gridCol w:w="2484"/>
        <w:gridCol w:w="2484"/>
        <w:gridCol w:w="2484"/>
      </w:tblGrid>
      <w:tr>
        <w:tc>
          <w:tcPr>
            <w:tcW w:type="dxa" w:w="2484"/>
            <w:shd w:fill="1B4332"/>
          </w:tcPr>
          <w:p>
            <w:pPr>
              <w:spacing w:before="60" w:after="60" w:line="276" w:lineRule="auto"/>
              <w:jc w:val="left"/>
            </w:pPr>
            <w:r>
              <w:rPr>
                <w:rFonts w:ascii="Calibri" w:hAnsi="Calibri"/>
                <w:b/>
                <w:color w:val="FFFFFF"/>
                <w:sz w:val="19"/>
              </w:rPr>
              <w:t>Trigger Name</w:t>
            </w:r>
          </w:p>
        </w:tc>
        <w:tc>
          <w:tcPr>
            <w:tcW w:type="dxa" w:w="2484"/>
            <w:shd w:fill="1B4332"/>
          </w:tcPr>
          <w:p>
            <w:pPr>
              <w:spacing w:before="60" w:after="60" w:line="276" w:lineRule="auto"/>
              <w:jc w:val="left"/>
            </w:pPr>
            <w:r>
              <w:rPr>
                <w:rFonts w:ascii="Calibri" w:hAnsi="Calibri"/>
                <w:b/>
                <w:color w:val="FFFFFF"/>
                <w:sz w:val="19"/>
              </w:rPr>
              <w:t>Triggering Event &amp; Table</w:t>
            </w:r>
          </w:p>
        </w:tc>
        <w:tc>
          <w:tcPr>
            <w:tcW w:type="dxa" w:w="2484"/>
            <w:shd w:fill="1B4332"/>
          </w:tcPr>
          <w:p>
            <w:pPr>
              <w:spacing w:before="60" w:after="60" w:line="276" w:lineRule="auto"/>
              <w:jc w:val="left"/>
            </w:pPr>
            <w:r>
              <w:rPr>
                <w:rFonts w:ascii="Calibri" w:hAnsi="Calibri"/>
                <w:b/>
                <w:color w:val="FFFFFF"/>
                <w:sz w:val="19"/>
              </w:rPr>
              <w:t>Execution Logic</w:t>
            </w:r>
          </w:p>
        </w:tc>
        <w:tc>
          <w:tcPr>
            <w:tcW w:type="dxa" w:w="2484"/>
            <w:shd w:fill="1B4332"/>
          </w:tcPr>
          <w:p>
            <w:pPr>
              <w:spacing w:before="60" w:after="60" w:line="276" w:lineRule="auto"/>
              <w:jc w:val="left"/>
            </w:pPr>
            <w:r>
              <w:rPr>
                <w:rFonts w:ascii="Calibri" w:hAnsi="Calibri"/>
                <w:b/>
                <w:color w:val="FFFFFF"/>
                <w:sz w:val="19"/>
              </w:rPr>
              <w:t>Business &amp; System Impact</w:t>
            </w:r>
          </w:p>
        </w:tc>
      </w:tr>
      <w:tr>
        <w:tc>
          <w:tcPr>
            <w:tcW w:type="dxa" w:w="2484"/>
            <w:shd w:fill="F9FAFB"/>
          </w:tcPr>
          <w:p>
            <w:pPr>
              <w:spacing w:before="60" w:after="60" w:line="276" w:lineRule="auto"/>
              <w:jc w:val="left"/>
            </w:pPr>
            <w:r>
              <w:rPr>
                <w:rFonts w:ascii="Calibri" w:hAnsi="Calibri"/>
                <w:b/>
                <w:color w:val="1F2937"/>
                <w:sz w:val="19"/>
              </w:rPr>
              <w:t>trg_harvest_stock_sync</w:t>
            </w:r>
          </w:p>
        </w:tc>
        <w:tc>
          <w:tcPr>
            <w:tcW w:type="dxa" w:w="2484"/>
            <w:shd w:fill="F9FAFB"/>
          </w:tcPr>
          <w:p>
            <w:pPr>
              <w:spacing w:before="60" w:after="60" w:line="276" w:lineRule="auto"/>
              <w:jc w:val="left"/>
            </w:pPr>
            <w:r>
              <w:rPr>
                <w:rFonts w:ascii="Calibri" w:hAnsi="Calibri"/>
                <w:b w:val="0"/>
                <w:color w:val="1F2937"/>
                <w:sz w:val="19"/>
              </w:rPr>
              <w:t>AFTER INSERT ON products_harvestrecord</w:t>
            </w:r>
          </w:p>
        </w:tc>
        <w:tc>
          <w:tcPr>
            <w:tcW w:type="dxa" w:w="2484"/>
            <w:shd w:fill="F9FAFB"/>
          </w:tcPr>
          <w:p>
            <w:pPr>
              <w:spacing w:before="60" w:after="60" w:line="276" w:lineRule="auto"/>
              <w:jc w:val="left"/>
            </w:pPr>
            <w:r>
              <w:rPr>
                <w:rFonts w:ascii="Calibri" w:hAnsi="Calibri"/>
                <w:b w:val="0"/>
                <w:color w:val="1F2937"/>
                <w:sz w:val="19"/>
              </w:rPr>
              <w:t>Executes fn_sync_harvest_stock(): automatically increments products_inventory.quantity_available by NEW.quantity_harvested.</w:t>
            </w:r>
          </w:p>
        </w:tc>
        <w:tc>
          <w:tcPr>
            <w:tcW w:type="dxa" w:w="2484"/>
            <w:shd w:fill="F9FAFB"/>
          </w:tcPr>
          <w:p>
            <w:pPr>
              <w:spacing w:before="60" w:after="60" w:line="276" w:lineRule="auto"/>
              <w:jc w:val="left"/>
            </w:pPr>
            <w:r>
              <w:rPr>
                <w:rFonts w:ascii="Calibri" w:hAnsi="Calibri"/>
                <w:b w:val="0"/>
                <w:color w:val="1F2937"/>
                <w:sz w:val="19"/>
              </w:rPr>
              <w:t>Replaces manual Python code. Harvest logs instantly boost live stock without application intervention.</w:t>
            </w:r>
          </w:p>
        </w:tc>
      </w:tr>
      <w:tr>
        <w:tc>
          <w:tcPr>
            <w:tcW w:type="dxa" w:w="2484"/>
            <w:shd w:fill="FFFFFF"/>
          </w:tcPr>
          <w:p>
            <w:pPr>
              <w:spacing w:before="60" w:after="60" w:line="276" w:lineRule="auto"/>
              <w:jc w:val="left"/>
            </w:pPr>
            <w:r>
              <w:rPr>
                <w:rFonts w:ascii="Calibri" w:hAnsi="Calibri"/>
                <w:b/>
                <w:color w:val="1F2937"/>
                <w:sz w:val="19"/>
              </w:rPr>
              <w:t>trg_calculate_order_total</w:t>
            </w:r>
          </w:p>
        </w:tc>
        <w:tc>
          <w:tcPr>
            <w:tcW w:type="dxa" w:w="2484"/>
            <w:shd w:fill="FFFFFF"/>
          </w:tcPr>
          <w:p>
            <w:pPr>
              <w:spacing w:before="60" w:after="60" w:line="276" w:lineRule="auto"/>
              <w:jc w:val="left"/>
            </w:pPr>
            <w:r>
              <w:rPr>
                <w:rFonts w:ascii="Calibri" w:hAnsi="Calibri"/>
                <w:b w:val="0"/>
                <w:color w:val="1F2937"/>
                <w:sz w:val="19"/>
              </w:rPr>
              <w:t>AFTER INSERT / UPDATE / DELETE ON orders_orderitem</w:t>
            </w:r>
          </w:p>
        </w:tc>
        <w:tc>
          <w:tcPr>
            <w:tcW w:type="dxa" w:w="2484"/>
            <w:shd w:fill="FFFFFF"/>
          </w:tcPr>
          <w:p>
            <w:pPr>
              <w:spacing w:before="60" w:after="60" w:line="276" w:lineRule="auto"/>
              <w:jc w:val="left"/>
            </w:pPr>
            <w:r>
              <w:rPr>
                <w:rFonts w:ascii="Calibri" w:hAnsi="Calibri"/>
                <w:b w:val="0"/>
                <w:color w:val="1F2937"/>
                <w:sz w:val="19"/>
              </w:rPr>
              <w:t>Executes fn_recalc_order_total(): runs SUM(quantity * price_at_purchase) and updates parent orders_order.total_amount.</w:t>
            </w:r>
          </w:p>
        </w:tc>
        <w:tc>
          <w:tcPr>
            <w:tcW w:type="dxa" w:w="2484"/>
            <w:shd w:fill="FFFFFF"/>
          </w:tcPr>
          <w:p>
            <w:pPr>
              <w:spacing w:before="60" w:after="60" w:line="276" w:lineRule="auto"/>
              <w:jc w:val="left"/>
            </w:pPr>
            <w:r>
              <w:rPr>
                <w:rFonts w:ascii="Calibri" w:hAnsi="Calibri"/>
                <w:b w:val="0"/>
                <w:color w:val="1F2937"/>
                <w:sz w:val="19"/>
              </w:rPr>
              <w:t>Guarantees order total strictly matches line items at all times, preventing calculation mismatch.</w:t>
            </w:r>
          </w:p>
        </w:tc>
      </w:tr>
      <w:tr>
        <w:tc>
          <w:tcPr>
            <w:tcW w:type="dxa" w:w="2484"/>
            <w:shd w:fill="F9FAFB"/>
          </w:tcPr>
          <w:p>
            <w:pPr>
              <w:spacing w:before="60" w:after="60" w:line="276" w:lineRule="auto"/>
              <w:jc w:val="left"/>
            </w:pPr>
            <w:r>
              <w:rPr>
                <w:rFonts w:ascii="Calibri" w:hAnsi="Calibri"/>
                <w:b/>
                <w:color w:val="1F2937"/>
                <w:sz w:val="19"/>
              </w:rPr>
              <w:t>trg_sync_payment_amount</w:t>
            </w:r>
          </w:p>
        </w:tc>
        <w:tc>
          <w:tcPr>
            <w:tcW w:type="dxa" w:w="2484"/>
            <w:shd w:fill="F9FAFB"/>
          </w:tcPr>
          <w:p>
            <w:pPr>
              <w:spacing w:before="60" w:after="60" w:line="276" w:lineRule="auto"/>
              <w:jc w:val="left"/>
            </w:pPr>
            <w:r>
              <w:rPr>
                <w:rFonts w:ascii="Calibri" w:hAnsi="Calibri"/>
                <w:b w:val="0"/>
                <w:color w:val="1F2937"/>
                <w:sz w:val="19"/>
              </w:rPr>
              <w:t>AFTER UPDATE OF total_amount ON orders_order</w:t>
            </w:r>
          </w:p>
        </w:tc>
        <w:tc>
          <w:tcPr>
            <w:tcW w:type="dxa" w:w="2484"/>
            <w:shd w:fill="F9FAFB"/>
          </w:tcPr>
          <w:p>
            <w:pPr>
              <w:spacing w:before="60" w:after="60" w:line="276" w:lineRule="auto"/>
              <w:jc w:val="left"/>
            </w:pPr>
            <w:r>
              <w:rPr>
                <w:rFonts w:ascii="Calibri" w:hAnsi="Calibri"/>
                <w:b w:val="0"/>
                <w:color w:val="1F2937"/>
                <w:sz w:val="19"/>
              </w:rPr>
              <w:t>Executes fn_sync_payment_amount(): automatically cascades new order total to orders_payment.amount.</w:t>
            </w:r>
          </w:p>
        </w:tc>
        <w:tc>
          <w:tcPr>
            <w:tcW w:type="dxa" w:w="2484"/>
            <w:shd w:fill="F9FAFB"/>
          </w:tcPr>
          <w:p>
            <w:pPr>
              <w:spacing w:before="60" w:after="60" w:line="276" w:lineRule="auto"/>
              <w:jc w:val="left"/>
            </w:pPr>
            <w:r>
              <w:rPr>
                <w:rFonts w:ascii="Calibri" w:hAnsi="Calibri"/>
                <w:b w:val="0"/>
                <w:color w:val="1F2937"/>
                <w:sz w:val="19"/>
              </w:rPr>
              <w:t>Ensures financial ledger and gateway billing align perfectly with final order total.</w:t>
            </w:r>
          </w:p>
        </w:tc>
      </w:tr>
      <w:tr>
        <w:tc>
          <w:tcPr>
            <w:tcW w:type="dxa" w:w="2484"/>
            <w:shd w:fill="FFFFFF"/>
          </w:tcPr>
          <w:p>
            <w:pPr>
              <w:spacing w:before="60" w:after="60" w:line="276" w:lineRule="auto"/>
              <w:jc w:val="left"/>
            </w:pPr>
            <w:r>
              <w:rPr>
                <w:rFonts w:ascii="Calibri" w:hAnsi="Calibri"/>
                <w:b/>
                <w:color w:val="1F2937"/>
                <w:sz w:val="19"/>
              </w:rPr>
              <w:t>trg_delivery_status_cascade</w:t>
            </w:r>
          </w:p>
        </w:tc>
        <w:tc>
          <w:tcPr>
            <w:tcW w:type="dxa" w:w="2484"/>
            <w:shd w:fill="FFFFFF"/>
          </w:tcPr>
          <w:p>
            <w:pPr>
              <w:spacing w:before="60" w:after="60" w:line="276" w:lineRule="auto"/>
              <w:jc w:val="left"/>
            </w:pPr>
            <w:r>
              <w:rPr>
                <w:rFonts w:ascii="Calibri" w:hAnsi="Calibri"/>
                <w:b w:val="0"/>
                <w:color w:val="1F2937"/>
                <w:sz w:val="19"/>
              </w:rPr>
              <w:t>AFTER UPDATE OF status ON orders_delivery</w:t>
            </w:r>
          </w:p>
        </w:tc>
        <w:tc>
          <w:tcPr>
            <w:tcW w:type="dxa" w:w="2484"/>
            <w:shd w:fill="FFFFFF"/>
          </w:tcPr>
          <w:p>
            <w:pPr>
              <w:spacing w:before="60" w:after="60" w:line="276" w:lineRule="auto"/>
              <w:jc w:val="left"/>
            </w:pPr>
            <w:r>
              <w:rPr>
                <w:rFonts w:ascii="Calibri" w:hAnsi="Calibri"/>
                <w:b w:val="0"/>
                <w:color w:val="1F2937"/>
                <w:sz w:val="19"/>
              </w:rPr>
              <w:t>Executes fn_cascade_delivery_status(): When delivery is 'delivered', sets delivered_at = NOW() and order.status = 'delivered'. When 'out_for_delivery', sets order.status = 'shipped'.</w:t>
            </w:r>
          </w:p>
        </w:tc>
        <w:tc>
          <w:tcPr>
            <w:tcW w:type="dxa" w:w="2484"/>
            <w:shd w:fill="FFFFFF"/>
          </w:tcPr>
          <w:p>
            <w:pPr>
              <w:spacing w:before="60" w:after="60" w:line="276" w:lineRule="auto"/>
              <w:jc w:val="left"/>
            </w:pPr>
            <w:r>
              <w:rPr>
                <w:rFonts w:ascii="Calibri" w:hAnsi="Calibri"/>
                <w:b w:val="0"/>
                <w:color w:val="1F2937"/>
                <w:sz w:val="19"/>
              </w:rPr>
              <w:t>Synchronizes order lifecycle with courier fulfillment automatically at DB layer.</w:t>
            </w:r>
          </w:p>
        </w:tc>
      </w:tr>
      <w:tr>
        <w:tc>
          <w:tcPr>
            <w:tcW w:type="dxa" w:w="2484"/>
            <w:shd w:fill="F9FAFB"/>
          </w:tcPr>
          <w:p>
            <w:pPr>
              <w:spacing w:before="60" w:after="60" w:line="276" w:lineRule="auto"/>
              <w:jc w:val="left"/>
            </w:pPr>
            <w:r>
              <w:rPr>
                <w:rFonts w:ascii="Calibri" w:hAnsi="Calibri"/>
                <w:b/>
                <w:color w:val="1F2937"/>
                <w:sz w:val="19"/>
              </w:rPr>
              <w:t>trg_order_audit_trail</w:t>
            </w:r>
          </w:p>
        </w:tc>
        <w:tc>
          <w:tcPr>
            <w:tcW w:type="dxa" w:w="2484"/>
            <w:shd w:fill="F9FAFB"/>
          </w:tcPr>
          <w:p>
            <w:pPr>
              <w:spacing w:before="60" w:after="60" w:line="276" w:lineRule="auto"/>
              <w:jc w:val="left"/>
            </w:pPr>
            <w:r>
              <w:rPr>
                <w:rFonts w:ascii="Calibri" w:hAnsi="Calibri"/>
                <w:b w:val="0"/>
                <w:color w:val="1F2937"/>
                <w:sz w:val="19"/>
              </w:rPr>
              <w:t>AFTER UPDATE OF status ON orders_order</w:t>
            </w:r>
          </w:p>
        </w:tc>
        <w:tc>
          <w:tcPr>
            <w:tcW w:type="dxa" w:w="2484"/>
            <w:shd w:fill="F9FAFB"/>
          </w:tcPr>
          <w:p>
            <w:pPr>
              <w:spacing w:before="60" w:after="60" w:line="276" w:lineRule="auto"/>
              <w:jc w:val="left"/>
            </w:pPr>
            <w:r>
              <w:rPr>
                <w:rFonts w:ascii="Calibri" w:hAnsi="Calibri"/>
                <w:b w:val="0"/>
                <w:color w:val="1F2937"/>
                <w:sz w:val="19"/>
              </w:rPr>
              <w:t>Executes fn_log_order_audit(): Inserts timestamp, old_status, new_status, and changed_by into orders_orderstatushistory.</w:t>
            </w:r>
          </w:p>
        </w:tc>
        <w:tc>
          <w:tcPr>
            <w:tcW w:type="dxa" w:w="2484"/>
            <w:shd w:fill="F9FAFB"/>
          </w:tcPr>
          <w:p>
            <w:pPr>
              <w:spacing w:before="60" w:after="60" w:line="276" w:lineRule="auto"/>
              <w:jc w:val="left"/>
            </w:pPr>
            <w:r>
              <w:rPr>
                <w:rFonts w:ascii="Calibri" w:hAnsi="Calibri"/>
                <w:b w:val="0"/>
                <w:color w:val="1F2937"/>
                <w:sz w:val="19"/>
              </w:rPr>
              <w:t>Provides tamper-proof historical audit trail for order disputes and lifecycle tracking.</w:t>
            </w:r>
          </w:p>
        </w:tc>
      </w:tr>
      <w:tr>
        <w:tc>
          <w:tcPr>
            <w:tcW w:type="dxa" w:w="2484"/>
            <w:shd w:fill="FFFFFF"/>
          </w:tcPr>
          <w:p>
            <w:pPr>
              <w:spacing w:before="60" w:after="60" w:line="276" w:lineRule="auto"/>
              <w:jc w:val="left"/>
            </w:pPr>
            <w:r>
              <w:rPr>
                <w:rFonts w:ascii="Calibri" w:hAnsi="Calibri"/>
                <w:b/>
                <w:color w:val="1F2937"/>
                <w:sz w:val="19"/>
              </w:rPr>
              <w:t>trg_auto_create_inventory</w:t>
            </w:r>
          </w:p>
        </w:tc>
        <w:tc>
          <w:tcPr>
            <w:tcW w:type="dxa" w:w="2484"/>
            <w:shd w:fill="FFFFFF"/>
          </w:tcPr>
          <w:p>
            <w:pPr>
              <w:spacing w:before="60" w:after="60" w:line="276" w:lineRule="auto"/>
              <w:jc w:val="left"/>
            </w:pPr>
            <w:r>
              <w:rPr>
                <w:rFonts w:ascii="Calibri" w:hAnsi="Calibri"/>
                <w:b w:val="0"/>
                <w:color w:val="1F2937"/>
                <w:sz w:val="19"/>
              </w:rPr>
              <w:t>AFTER INSERT ON products_product</w:t>
            </w:r>
          </w:p>
        </w:tc>
        <w:tc>
          <w:tcPr>
            <w:tcW w:type="dxa" w:w="2484"/>
            <w:shd w:fill="FFFFFF"/>
          </w:tcPr>
          <w:p>
            <w:pPr>
              <w:spacing w:before="60" w:after="60" w:line="276" w:lineRule="auto"/>
              <w:jc w:val="left"/>
            </w:pPr>
            <w:r>
              <w:rPr>
                <w:rFonts w:ascii="Calibri" w:hAnsi="Calibri"/>
                <w:b w:val="0"/>
                <w:color w:val="1F2937"/>
                <w:sz w:val="19"/>
              </w:rPr>
              <w:t>Executes fn_init_inventory(): Automatically generates an initial 0-quantity record in products_inventory.</w:t>
            </w:r>
          </w:p>
        </w:tc>
        <w:tc>
          <w:tcPr>
            <w:tcW w:type="dxa" w:w="2484"/>
            <w:shd w:fill="FFFFFF"/>
          </w:tcPr>
          <w:p>
            <w:pPr>
              <w:spacing w:before="60" w:after="60" w:line="276" w:lineRule="auto"/>
              <w:jc w:val="left"/>
            </w:pPr>
            <w:r>
              <w:rPr>
                <w:rFonts w:ascii="Calibri" w:hAnsi="Calibri"/>
                <w:b w:val="0"/>
                <w:color w:val="1F2937"/>
                <w:sz w:val="19"/>
              </w:rPr>
              <w:t>Guarantees referential completeness so no product exists without inventory.</w:t>
            </w:r>
          </w:p>
        </w:tc>
      </w:tr>
    </w:tbl>
    <w:p/>
    <w:p>
      <w:pPr>
        <w:keepNext/>
        <w:spacing w:before="280" w:after="80"/>
      </w:pPr>
      <w:r>
        <w:rPr>
          <w:rFonts w:ascii="Calibri" w:hAnsi="Calibri"/>
          <w:b/>
          <w:color w:val="2D6A4F"/>
          <w:sz w:val="30"/>
        </w:rPr>
        <w:t>4. Stored Procedures &amp; Functions (ACID Transaction Layer)</w:t>
      </w:r>
    </w:p>
    <w:p>
      <w:pPr>
        <w:spacing w:before="40" w:after="60" w:line="276" w:lineRule="auto"/>
      </w:pPr>
      <w:r>
        <w:rPr>
          <w:rFonts w:ascii="Calibri" w:hAnsi="Calibri"/>
          <w:color w:val="1F2937"/>
          <w:sz w:val="20"/>
        </w:rPr>
        <w:t>Stored procedures package high-concurrency transactional routines into single-call database functions, drastically reducing round-trip network hops between Django and PostgreSQL.</w:t>
      </w:r>
    </w:p>
    <w:tbl>
      <w:tblPr>
        <w:tblW w:type="auto" w:w="0"/>
        <w:jc w:val="center"/>
        <w:tblLook w:firstColumn="1" w:firstRow="1" w:lastColumn="0" w:lastRow="0" w:noHBand="0" w:noVBand="1" w:val="04A0"/>
      </w:tblPr>
      <w:tblGrid>
        <w:gridCol w:w="2484"/>
        <w:gridCol w:w="2484"/>
        <w:gridCol w:w="2484"/>
        <w:gridCol w:w="2484"/>
      </w:tblGrid>
      <w:tr>
        <w:tc>
          <w:tcPr>
            <w:tcW w:type="dxa" w:w="2484"/>
            <w:shd w:fill="D97706"/>
          </w:tcPr>
          <w:p>
            <w:pPr>
              <w:spacing w:before="60" w:after="60" w:line="276" w:lineRule="auto"/>
              <w:jc w:val="left"/>
            </w:pPr>
            <w:r>
              <w:rPr>
                <w:rFonts w:ascii="Calibri" w:hAnsi="Calibri"/>
                <w:b/>
                <w:color w:val="FFFFFF"/>
                <w:sz w:val="19"/>
              </w:rPr>
              <w:t>Procedure / Function</w:t>
            </w:r>
          </w:p>
        </w:tc>
        <w:tc>
          <w:tcPr>
            <w:tcW w:type="dxa" w:w="2484"/>
            <w:shd w:fill="D97706"/>
          </w:tcPr>
          <w:p>
            <w:pPr>
              <w:spacing w:before="60" w:after="60" w:line="276" w:lineRule="auto"/>
              <w:jc w:val="left"/>
            </w:pPr>
            <w:r>
              <w:rPr>
                <w:rFonts w:ascii="Calibri" w:hAnsi="Calibri"/>
                <w:b/>
                <w:color w:val="FFFFFF"/>
                <w:sz w:val="19"/>
              </w:rPr>
              <w:t>Input Parameters</w:t>
            </w:r>
          </w:p>
        </w:tc>
        <w:tc>
          <w:tcPr>
            <w:tcW w:type="dxa" w:w="2484"/>
            <w:shd w:fill="D97706"/>
          </w:tcPr>
          <w:p>
            <w:pPr>
              <w:spacing w:before="60" w:after="60" w:line="276" w:lineRule="auto"/>
              <w:jc w:val="left"/>
            </w:pPr>
            <w:r>
              <w:rPr>
                <w:rFonts w:ascii="Calibri" w:hAnsi="Calibri"/>
                <w:b/>
                <w:color w:val="FFFFFF"/>
                <w:sz w:val="19"/>
              </w:rPr>
              <w:t>Return Value</w:t>
            </w:r>
          </w:p>
        </w:tc>
        <w:tc>
          <w:tcPr>
            <w:tcW w:type="dxa" w:w="2484"/>
            <w:shd w:fill="D97706"/>
          </w:tcPr>
          <w:p>
            <w:pPr>
              <w:spacing w:before="60" w:after="60" w:line="276" w:lineRule="auto"/>
              <w:jc w:val="left"/>
            </w:pPr>
            <w:r>
              <w:rPr>
                <w:rFonts w:ascii="Calibri" w:hAnsi="Calibri"/>
                <w:b/>
                <w:color w:val="FFFFFF"/>
                <w:sz w:val="19"/>
              </w:rPr>
              <w:t>Detailed Internal Logic &amp; Operations</w:t>
            </w:r>
          </w:p>
        </w:tc>
      </w:tr>
      <w:tr>
        <w:tc>
          <w:tcPr>
            <w:tcW w:type="dxa" w:w="2484"/>
            <w:shd w:fill="FFFFFF"/>
          </w:tcPr>
          <w:p>
            <w:pPr>
              <w:spacing w:before="60" w:after="60" w:line="276" w:lineRule="auto"/>
              <w:jc w:val="left"/>
            </w:pPr>
            <w:r>
              <w:rPr>
                <w:rFonts w:ascii="Calibri" w:hAnsi="Calibri"/>
                <w:b/>
                <w:color w:val="1F2937"/>
                <w:sz w:val="19"/>
              </w:rPr>
              <w:t>fn_place_order</w:t>
            </w:r>
          </w:p>
        </w:tc>
        <w:tc>
          <w:tcPr>
            <w:tcW w:type="dxa" w:w="2484"/>
            <w:shd w:fill="FFFFFF"/>
          </w:tcPr>
          <w:p>
            <w:pPr>
              <w:spacing w:before="60" w:after="60" w:line="276" w:lineRule="auto"/>
              <w:jc w:val="left"/>
            </w:pPr>
            <w:r>
              <w:rPr>
                <w:rFonts w:ascii="Calibri" w:hAnsi="Calibri"/>
                <w:b w:val="0"/>
                <w:color w:val="1F2937"/>
                <w:sz w:val="19"/>
              </w:rPr>
              <w:t>p_consumer_id INT,</w:t>
              <w:br/>
              <w:t>p_address TEXT,</w:t>
              <w:br/>
              <w:t>p_payment_method VARCHAR</w:t>
            </w:r>
          </w:p>
        </w:tc>
        <w:tc>
          <w:tcPr>
            <w:tcW w:type="dxa" w:w="2484"/>
            <w:shd w:fill="FFFFFF"/>
          </w:tcPr>
          <w:p>
            <w:pPr>
              <w:spacing w:before="60" w:after="60" w:line="276" w:lineRule="auto"/>
              <w:jc w:val="left"/>
            </w:pPr>
            <w:r>
              <w:rPr>
                <w:rFonts w:ascii="Calibri" w:hAnsi="Calibri"/>
                <w:b w:val="0"/>
                <w:color w:val="1F2937"/>
                <w:sz w:val="19"/>
              </w:rPr>
              <w:t>JSON:</w:t>
              <w:br/>
              <w:t>{success: bool,</w:t>
              <w:br/>
              <w:t xml:space="preserve"> order_id: int,</w:t>
              <w:br/>
              <w:t xml:space="preserve"> total: decimal,</w:t>
              <w:br/>
              <w:t xml:space="preserve"> error: text}</w:t>
            </w:r>
          </w:p>
        </w:tc>
        <w:tc>
          <w:tcPr>
            <w:tcW w:type="dxa" w:w="2484"/>
            <w:shd w:fill="FFFFFF"/>
          </w:tcPr>
          <w:p>
            <w:pPr>
              <w:spacing w:before="60" w:after="60" w:line="276" w:lineRule="auto"/>
              <w:jc w:val="left"/>
            </w:pPr>
            <w:r>
              <w:rPr>
                <w:rFonts w:ascii="Calibri" w:hAnsi="Calibri"/>
                <w:b w:val="0"/>
                <w:color w:val="1F2937"/>
                <w:sz w:val="19"/>
              </w:rPr>
              <w:t>1. Acquires exclusive row locks (FOR UPDATE) on relevant products_inventory rows.</w:t>
              <w:br/>
              <w:t>2. Verifies stock availability for all cart items.</w:t>
              <w:br/>
              <w:t>3. Deducts stock from inventory.</w:t>
              <w:br/>
              <w:t>4. Creates Order, bulk-inserts OrderItems.</w:t>
              <w:br/>
              <w:t>5. Creates pending Payment and preparing Delivery records.</w:t>
              <w:br/>
              <w:t>6. Purges CartItems.</w:t>
              <w:br/>
              <w:t>7. All within one atomic ACID execution.</w:t>
            </w:r>
          </w:p>
        </w:tc>
      </w:tr>
      <w:tr>
        <w:tc>
          <w:tcPr>
            <w:tcW w:type="dxa" w:w="2484"/>
            <w:shd w:fill="FFFFFF"/>
          </w:tcPr>
          <w:p>
            <w:pPr>
              <w:spacing w:before="60" w:after="60" w:line="276" w:lineRule="auto"/>
              <w:jc w:val="left"/>
            </w:pPr>
            <w:r>
              <w:rPr>
                <w:rFonts w:ascii="Calibri" w:hAnsi="Calibri"/>
                <w:b/>
                <w:color w:val="1F2937"/>
                <w:sz w:val="19"/>
              </w:rPr>
              <w:t>fn_cancel_order</w:t>
            </w:r>
          </w:p>
        </w:tc>
        <w:tc>
          <w:tcPr>
            <w:tcW w:type="dxa" w:w="2484"/>
            <w:shd w:fill="FFFFFF"/>
          </w:tcPr>
          <w:p>
            <w:pPr>
              <w:spacing w:before="60" w:after="60" w:line="276" w:lineRule="auto"/>
              <w:jc w:val="left"/>
            </w:pPr>
            <w:r>
              <w:rPr>
                <w:rFonts w:ascii="Calibri" w:hAnsi="Calibri"/>
                <w:b w:val="0"/>
                <w:color w:val="1F2937"/>
                <w:sz w:val="19"/>
              </w:rPr>
              <w:t>p_order_id INT,</w:t>
              <w:br/>
              <w:t>p_reason TEXT</w:t>
            </w:r>
          </w:p>
        </w:tc>
        <w:tc>
          <w:tcPr>
            <w:tcW w:type="dxa" w:w="2484"/>
            <w:shd w:fill="FFFFFF"/>
          </w:tcPr>
          <w:p>
            <w:pPr>
              <w:spacing w:before="60" w:after="60" w:line="276" w:lineRule="auto"/>
              <w:jc w:val="left"/>
            </w:pPr>
            <w:r>
              <w:rPr>
                <w:rFonts w:ascii="Calibri" w:hAnsi="Calibri"/>
                <w:b w:val="0"/>
                <w:color w:val="1F2937"/>
                <w:sz w:val="19"/>
              </w:rPr>
              <w:t>JSON:</w:t>
              <w:br/>
              <w:t>{success: bool,</w:t>
              <w:br/>
              <w:t xml:space="preserve"> restored_items: int}</w:t>
            </w:r>
          </w:p>
        </w:tc>
        <w:tc>
          <w:tcPr>
            <w:tcW w:type="dxa" w:w="2484"/>
            <w:shd w:fill="FFFFFF"/>
          </w:tcPr>
          <w:p>
            <w:pPr>
              <w:spacing w:before="60" w:after="60" w:line="276" w:lineRule="auto"/>
              <w:jc w:val="left"/>
            </w:pPr>
            <w:r>
              <w:rPr>
                <w:rFonts w:ascii="Calibri" w:hAnsi="Calibri"/>
                <w:b w:val="0"/>
                <w:color w:val="1F2937"/>
                <w:sz w:val="19"/>
              </w:rPr>
              <w:t>1. Verifies order is in 'pending' or 'confirmed' state.</w:t>
              <w:br/>
              <w:t>2. Locks and returns purchased quantities back to products_inventory.</w:t>
              <w:br/>
              <w:t>3. Sets order status to 'cancelled'.</w:t>
              <w:br/>
              <w:t>4. Sets payment status to 'refunded' or 'failed'.</w:t>
              <w:br/>
              <w:t>5. Logs cancellation event to audit trail.</w:t>
            </w:r>
          </w:p>
        </w:tc>
      </w:tr>
      <w:tr>
        <w:tc>
          <w:tcPr>
            <w:tcW w:type="dxa" w:w="2484"/>
            <w:shd w:fill="FFFFFF"/>
          </w:tcPr>
          <w:p>
            <w:pPr>
              <w:spacing w:before="60" w:after="60" w:line="276" w:lineRule="auto"/>
              <w:jc w:val="left"/>
            </w:pPr>
            <w:r>
              <w:rPr>
                <w:rFonts w:ascii="Calibri" w:hAnsi="Calibri"/>
                <w:b/>
                <w:color w:val="1F2937"/>
                <w:sz w:val="19"/>
              </w:rPr>
              <w:t>fn_farmer_metrics</w:t>
            </w:r>
          </w:p>
        </w:tc>
        <w:tc>
          <w:tcPr>
            <w:tcW w:type="dxa" w:w="2484"/>
            <w:shd w:fill="FFFFFF"/>
          </w:tcPr>
          <w:p>
            <w:pPr>
              <w:spacing w:before="60" w:after="60" w:line="276" w:lineRule="auto"/>
              <w:jc w:val="left"/>
            </w:pPr>
            <w:r>
              <w:rPr>
                <w:rFonts w:ascii="Calibri" w:hAnsi="Calibri"/>
                <w:b w:val="0"/>
                <w:color w:val="1F2937"/>
                <w:sz w:val="19"/>
              </w:rPr>
              <w:t>p_farmer_id INT</w:t>
            </w:r>
          </w:p>
        </w:tc>
        <w:tc>
          <w:tcPr>
            <w:tcW w:type="dxa" w:w="2484"/>
            <w:shd w:fill="FFFFFF"/>
          </w:tcPr>
          <w:p>
            <w:pPr>
              <w:spacing w:before="60" w:after="60" w:line="276" w:lineRule="auto"/>
              <w:jc w:val="left"/>
            </w:pPr>
            <w:r>
              <w:rPr>
                <w:rFonts w:ascii="Calibri" w:hAnsi="Calibri"/>
                <w:b w:val="0"/>
                <w:color w:val="1F2937"/>
                <w:sz w:val="19"/>
              </w:rPr>
              <w:t>TABLE(</w:t>
              <w:br/>
              <w:t>gross_rev numeric,</w:t>
              <w:br/>
              <w:t>farmer_cut numeric,</w:t>
              <w:br/>
              <w:t>active_orders int,</w:t>
              <w:br/>
              <w:t>low_stock_count int)</w:t>
            </w:r>
          </w:p>
        </w:tc>
        <w:tc>
          <w:tcPr>
            <w:tcW w:type="dxa" w:w="2484"/>
            <w:shd w:fill="FFFFFF"/>
          </w:tcPr>
          <w:p>
            <w:pPr>
              <w:spacing w:before="60" w:after="60" w:line="276" w:lineRule="auto"/>
              <w:jc w:val="left"/>
            </w:pPr>
            <w:r>
              <w:rPr>
                <w:rFonts w:ascii="Calibri" w:hAnsi="Calibri"/>
                <w:b w:val="0"/>
                <w:color w:val="1F2937"/>
                <w:sz w:val="19"/>
              </w:rPr>
              <w:t>Runs aggregation query calculating: Total revenue, 90% direct farmer payout, active order count, and count of products with inventory below 10 units in one single call.</w:t>
            </w:r>
          </w:p>
        </w:tc>
      </w:tr>
    </w:tbl>
    <w:p/>
    <w:p>
      <w:pPr>
        <w:keepNext/>
        <w:spacing w:before="280" w:after="80"/>
      </w:pPr>
      <w:r>
        <w:rPr>
          <w:rFonts w:ascii="Calibri" w:hAnsi="Calibri"/>
          <w:b/>
          <w:color w:val="2D6A4F"/>
          <w:sz w:val="30"/>
        </w:rPr>
        <w:t>5. Performance Optimization: Eliminating the N+1 Query Defect</w:t>
      </w:r>
    </w:p>
    <w:p>
      <w:pPr>
        <w:spacing w:before="40" w:after="60" w:line="276" w:lineRule="auto"/>
      </w:pPr>
      <w:r>
        <w:rPr>
          <w:rFonts w:ascii="Calibri" w:hAnsi="Calibri"/>
          <w:color w:val="1F2937"/>
          <w:sz w:val="20"/>
        </w:rPr>
        <w:t>In the current implementation, loading 21 products on the marketplace causes Django to issue 1 query for products, 21 queries for average review ratings, and 21 queries for harvest freshness — resulting in 43 round-trip queries! This optimization resolves this completely:</w:t>
      </w:r>
    </w:p>
    <w:p>
      <w:pPr>
        <w:pStyle w:val="ListBullet"/>
        <w:spacing w:before="20" w:after="40" w:line="276" w:lineRule="auto"/>
      </w:pPr>
      <w:r>
        <w:rPr>
          <w:rFonts w:ascii="Calibri" w:hAnsi="Calibri"/>
          <w:b/>
          <w:color w:val="1F2937"/>
          <w:sz w:val="20"/>
        </w:rPr>
        <w:t xml:space="preserve">1. Materialized / Standard View: </w:t>
      </w:r>
      <w:r>
        <w:rPr>
          <w:rFonts w:ascii="Calibri" w:hAnsi="Calibri"/>
          <w:color w:val="1F2937"/>
          <w:sz w:val="20"/>
        </w:rPr>
        <w:t>PostgreSQL Database View (vw_product_catalog): Pre-joins products, inventory, city, farmer, latest harvest date, days since harvest, and average review ratings into a single queryable entity.</w:t>
      </w:r>
    </w:p>
    <w:p>
      <w:pPr>
        <w:pStyle w:val="ListBullet"/>
        <w:spacing w:before="20" w:after="40" w:line="276" w:lineRule="auto"/>
      </w:pPr>
      <w:r>
        <w:rPr>
          <w:rFonts w:ascii="Calibri" w:hAnsi="Calibri"/>
          <w:b/>
          <w:color w:val="1F2937"/>
          <w:sz w:val="20"/>
        </w:rPr>
        <w:t xml:space="preserve">2. Django Viewset Optimization: </w:t>
      </w:r>
      <w:r>
        <w:rPr>
          <w:rFonts w:ascii="Calibri" w:hAnsi="Calibri"/>
          <w:color w:val="1F2937"/>
          <w:sz w:val="20"/>
        </w:rPr>
        <w:t>Replaces Python-level loops with SQL window functions and subqueries (Avg('reviews__rating') and Max('harvest_records__harvest_date')). Reduces catalog page load queries from 43 to 1 single query.</w:t>
      </w:r>
    </w:p>
    <w:p>
      <w:pPr>
        <w:pStyle w:val="ListBullet"/>
        <w:spacing w:before="20" w:after="40" w:line="276" w:lineRule="auto"/>
      </w:pPr>
      <w:r>
        <w:rPr>
          <w:rFonts w:ascii="Calibri" w:hAnsi="Calibri"/>
          <w:b/>
          <w:color w:val="1F2937"/>
          <w:sz w:val="20"/>
        </w:rPr>
        <w:t xml:space="preserve">3. Strategic Database Indexing: </w:t>
      </w:r>
      <w:r>
        <w:rPr>
          <w:rFonts w:ascii="Calibri" w:hAnsi="Calibri"/>
          <w:color w:val="1F2937"/>
          <w:sz w:val="20"/>
        </w:rPr>
        <w:t>Targeted B-Tree and Partial Indexes to accelerate high-frequency queries:</w:t>
      </w:r>
    </w:p>
    <w:tbl>
      <w:tblPr>
        <w:tblW w:type="auto" w:w="0"/>
        <w:jc w:val="center"/>
        <w:tblLook w:firstColumn="1" w:firstRow="1" w:lastColumn="0" w:lastRow="0" w:noHBand="0" w:noVBand="1" w:val="04A0"/>
      </w:tblPr>
      <w:tblGrid>
        <w:gridCol w:w="3312"/>
        <w:gridCol w:w="3312"/>
        <w:gridCol w:w="3312"/>
      </w:tblGrid>
      <w:tr>
        <w:tc>
          <w:tcPr>
            <w:tcW w:type="dxa" w:w="3312"/>
            <w:shd w:fill="2D6A4F"/>
          </w:tcPr>
          <w:p>
            <w:pPr>
              <w:spacing w:before="60" w:after="60" w:line="276" w:lineRule="auto"/>
              <w:jc w:val="left"/>
            </w:pPr>
            <w:r>
              <w:rPr>
                <w:rFonts w:ascii="Calibri" w:hAnsi="Calibri"/>
                <w:b/>
                <w:color w:val="FFFFFF"/>
                <w:sz w:val="19"/>
              </w:rPr>
              <w:t>Index Name</w:t>
            </w:r>
          </w:p>
        </w:tc>
        <w:tc>
          <w:tcPr>
            <w:tcW w:type="dxa" w:w="3312"/>
            <w:shd w:fill="2D6A4F"/>
          </w:tcPr>
          <w:p>
            <w:pPr>
              <w:spacing w:before="60" w:after="60" w:line="276" w:lineRule="auto"/>
              <w:jc w:val="left"/>
            </w:pPr>
            <w:r>
              <w:rPr>
                <w:rFonts w:ascii="Calibri" w:hAnsi="Calibri"/>
                <w:b/>
                <w:color w:val="FFFFFF"/>
                <w:sz w:val="19"/>
              </w:rPr>
              <w:t>Columns Indexed</w:t>
            </w:r>
          </w:p>
        </w:tc>
        <w:tc>
          <w:tcPr>
            <w:tcW w:type="dxa" w:w="3312"/>
            <w:shd w:fill="2D6A4F"/>
          </w:tcPr>
          <w:p>
            <w:pPr>
              <w:spacing w:before="60" w:after="60" w:line="276" w:lineRule="auto"/>
              <w:jc w:val="left"/>
            </w:pPr>
            <w:r>
              <w:rPr>
                <w:rFonts w:ascii="Calibri" w:hAnsi="Calibri"/>
                <w:b/>
                <w:color w:val="FFFFFF"/>
                <w:sz w:val="19"/>
              </w:rPr>
              <w:t>Query Accelerated</w:t>
            </w:r>
          </w:p>
        </w:tc>
      </w:tr>
      <w:tr>
        <w:tc>
          <w:tcPr>
            <w:tcW w:type="dxa" w:w="3312"/>
            <w:shd w:fill="F9FAFB"/>
          </w:tcPr>
          <w:p>
            <w:pPr>
              <w:spacing w:before="60" w:after="60" w:line="276" w:lineRule="auto"/>
              <w:jc w:val="left"/>
            </w:pPr>
            <w:r>
              <w:rPr>
                <w:rFonts w:ascii="Calibri" w:hAnsi="Calibri"/>
                <w:b/>
                <w:color w:val="1F2937"/>
                <w:sz w:val="19"/>
              </w:rPr>
              <w:t>idx_products_cat_active</w:t>
            </w:r>
          </w:p>
        </w:tc>
        <w:tc>
          <w:tcPr>
            <w:tcW w:type="dxa" w:w="3312"/>
            <w:shd w:fill="F9FAFB"/>
          </w:tcPr>
          <w:p>
            <w:pPr>
              <w:spacing w:before="60" w:after="60" w:line="276" w:lineRule="auto"/>
              <w:jc w:val="left"/>
            </w:pPr>
            <w:r>
              <w:rPr>
                <w:rFonts w:ascii="Calibri" w:hAnsi="Calibri"/>
                <w:b w:val="0"/>
                <w:color w:val="1F2937"/>
                <w:sz w:val="19"/>
              </w:rPr>
              <w:t>products_product (category_id, is_active)</w:t>
            </w:r>
          </w:p>
        </w:tc>
        <w:tc>
          <w:tcPr>
            <w:tcW w:type="dxa" w:w="3312"/>
            <w:shd w:fill="F9FAFB"/>
          </w:tcPr>
          <w:p>
            <w:pPr>
              <w:spacing w:before="60" w:after="60" w:line="276" w:lineRule="auto"/>
              <w:jc w:val="left"/>
            </w:pPr>
            <w:r>
              <w:rPr>
                <w:rFonts w:ascii="Calibri" w:hAnsi="Calibri"/>
                <w:b w:val="0"/>
                <w:color w:val="1F2937"/>
                <w:sz w:val="19"/>
              </w:rPr>
              <w:t>Marketplace catalog filtering by category.</w:t>
            </w:r>
          </w:p>
        </w:tc>
      </w:tr>
      <w:tr>
        <w:tc>
          <w:tcPr>
            <w:tcW w:type="dxa" w:w="3312"/>
            <w:shd w:fill="FFFFFF"/>
          </w:tcPr>
          <w:p>
            <w:pPr>
              <w:spacing w:before="60" w:after="60" w:line="276" w:lineRule="auto"/>
              <w:jc w:val="left"/>
            </w:pPr>
            <w:r>
              <w:rPr>
                <w:rFonts w:ascii="Calibri" w:hAnsi="Calibri"/>
                <w:b/>
                <w:color w:val="1F2937"/>
                <w:sz w:val="19"/>
              </w:rPr>
              <w:t>idx_orders_consumer_placed</w:t>
            </w:r>
          </w:p>
        </w:tc>
        <w:tc>
          <w:tcPr>
            <w:tcW w:type="dxa" w:w="3312"/>
            <w:shd w:fill="FFFFFF"/>
          </w:tcPr>
          <w:p>
            <w:pPr>
              <w:spacing w:before="60" w:after="60" w:line="276" w:lineRule="auto"/>
              <w:jc w:val="left"/>
            </w:pPr>
            <w:r>
              <w:rPr>
                <w:rFonts w:ascii="Calibri" w:hAnsi="Calibri"/>
                <w:b w:val="0"/>
                <w:color w:val="1F2937"/>
                <w:sz w:val="19"/>
              </w:rPr>
              <w:t>orders_order (consumer_id, placed_at DESC)</w:t>
            </w:r>
          </w:p>
        </w:tc>
        <w:tc>
          <w:tcPr>
            <w:tcW w:type="dxa" w:w="3312"/>
            <w:shd w:fill="FFFFFF"/>
          </w:tcPr>
          <w:p>
            <w:pPr>
              <w:spacing w:before="60" w:after="60" w:line="276" w:lineRule="auto"/>
              <w:jc w:val="left"/>
            </w:pPr>
            <w:r>
              <w:rPr>
                <w:rFonts w:ascii="Calibri" w:hAnsi="Calibri"/>
                <w:b w:val="0"/>
                <w:color w:val="1F2937"/>
                <w:sz w:val="19"/>
              </w:rPr>
              <w:t>Consumer order history retrieval sorted chronologically.</w:t>
            </w:r>
          </w:p>
        </w:tc>
      </w:tr>
      <w:tr>
        <w:tc>
          <w:tcPr>
            <w:tcW w:type="dxa" w:w="3312"/>
            <w:shd w:fill="F9FAFB"/>
          </w:tcPr>
          <w:p>
            <w:pPr>
              <w:spacing w:before="60" w:after="60" w:line="276" w:lineRule="auto"/>
              <w:jc w:val="left"/>
            </w:pPr>
            <w:r>
              <w:rPr>
                <w:rFonts w:ascii="Calibri" w:hAnsi="Calibri"/>
                <w:b/>
                <w:color w:val="1F2937"/>
                <w:sz w:val="19"/>
              </w:rPr>
              <w:t>idx_harvest_prod_date</w:t>
            </w:r>
          </w:p>
        </w:tc>
        <w:tc>
          <w:tcPr>
            <w:tcW w:type="dxa" w:w="3312"/>
            <w:shd w:fill="F9FAFB"/>
          </w:tcPr>
          <w:p>
            <w:pPr>
              <w:spacing w:before="60" w:after="60" w:line="276" w:lineRule="auto"/>
              <w:jc w:val="left"/>
            </w:pPr>
            <w:r>
              <w:rPr>
                <w:rFonts w:ascii="Calibri" w:hAnsi="Calibri"/>
                <w:b w:val="0"/>
                <w:color w:val="1F2937"/>
                <w:sz w:val="19"/>
              </w:rPr>
              <w:t>products_harvestrecord (product_id, harvest_date DESC)</w:t>
            </w:r>
          </w:p>
        </w:tc>
        <w:tc>
          <w:tcPr>
            <w:tcW w:type="dxa" w:w="3312"/>
            <w:shd w:fill="F9FAFB"/>
          </w:tcPr>
          <w:p>
            <w:pPr>
              <w:spacing w:before="60" w:after="60" w:line="276" w:lineRule="auto"/>
              <w:jc w:val="left"/>
            </w:pPr>
            <w:r>
              <w:rPr>
                <w:rFonts w:ascii="Calibri" w:hAnsi="Calibri"/>
                <w:b w:val="0"/>
                <w:color w:val="1F2937"/>
                <w:sz w:val="19"/>
              </w:rPr>
              <w:t>Instant retrieval of latest harvest for freshness calculation.</w:t>
            </w:r>
          </w:p>
        </w:tc>
      </w:tr>
      <w:tr>
        <w:tc>
          <w:tcPr>
            <w:tcW w:type="dxa" w:w="3312"/>
            <w:shd w:fill="FFFFFF"/>
          </w:tcPr>
          <w:p>
            <w:pPr>
              <w:spacing w:before="60" w:after="60" w:line="276" w:lineRule="auto"/>
              <w:jc w:val="left"/>
            </w:pPr>
            <w:r>
              <w:rPr>
                <w:rFonts w:ascii="Calibri" w:hAnsi="Calibri"/>
                <w:b/>
                <w:color w:val="1F2937"/>
                <w:sz w:val="19"/>
              </w:rPr>
              <w:t>idx_inventory_low_stock</w:t>
            </w:r>
          </w:p>
        </w:tc>
        <w:tc>
          <w:tcPr>
            <w:tcW w:type="dxa" w:w="3312"/>
            <w:shd w:fill="FFFFFF"/>
          </w:tcPr>
          <w:p>
            <w:pPr>
              <w:spacing w:before="60" w:after="60" w:line="276" w:lineRule="auto"/>
              <w:jc w:val="left"/>
            </w:pPr>
            <w:r>
              <w:rPr>
                <w:rFonts w:ascii="Calibri" w:hAnsi="Calibri"/>
                <w:b w:val="0"/>
                <w:color w:val="1F2937"/>
                <w:sz w:val="19"/>
              </w:rPr>
              <w:t>products_inventory (quantity_available) WHERE quantity_available &lt; 10</w:t>
            </w:r>
          </w:p>
        </w:tc>
        <w:tc>
          <w:tcPr>
            <w:tcW w:type="dxa" w:w="3312"/>
            <w:shd w:fill="FFFFFF"/>
          </w:tcPr>
          <w:p>
            <w:pPr>
              <w:spacing w:before="60" w:after="60" w:line="276" w:lineRule="auto"/>
              <w:jc w:val="left"/>
            </w:pPr>
            <w:r>
              <w:rPr>
                <w:rFonts w:ascii="Calibri" w:hAnsi="Calibri"/>
                <w:b w:val="0"/>
                <w:color w:val="1F2937"/>
                <w:sz w:val="19"/>
              </w:rPr>
              <w:t>Partial index for farmer dashboard low-stock warning widgets.</w:t>
            </w:r>
          </w:p>
        </w:tc>
      </w:tr>
    </w:tbl>
    <w:p/>
    <w:p>
      <w:pPr>
        <w:keepNext/>
        <w:spacing w:before="280" w:after="80"/>
      </w:pPr>
      <w:r>
        <w:rPr>
          <w:rFonts w:ascii="Calibri" w:hAnsi="Calibri"/>
          <w:b/>
          <w:color w:val="2D6A4F"/>
          <w:sz w:val="30"/>
        </w:rPr>
        <w:t>6. Deliverables &amp; Safety Roadmap</w:t>
      </w:r>
    </w:p>
    <w:p>
      <w:pPr>
        <w:spacing w:before="40" w:after="60" w:line="276" w:lineRule="auto"/>
      </w:pPr>
      <w:r>
        <w:rPr>
          <w:rFonts w:ascii="Calibri" w:hAnsi="Calibri"/>
          <w:color w:val="1F2937"/>
          <w:sz w:val="20"/>
        </w:rPr>
        <w:t>All changes are designed to preserve 100% compatibility with existing seed data and frontend components:</w:t>
      </w:r>
    </w:p>
    <w:p>
      <w:pPr>
        <w:pStyle w:val="ListBullet"/>
        <w:spacing w:before="20" w:after="40" w:line="276" w:lineRule="auto"/>
      </w:pPr>
      <w:r>
        <w:rPr>
          <w:rFonts w:ascii="Calibri" w:hAnsi="Calibri"/>
          <w:b/>
          <w:color w:val="1F2937"/>
          <w:sz w:val="20"/>
        </w:rPr>
        <w:t xml:space="preserve">A. Standalone SQL Scripts: </w:t>
      </w:r>
      <w:r>
        <w:rPr>
          <w:rFonts w:ascii="Calibri" w:hAnsi="Calibri"/>
          <w:color w:val="1F2937"/>
          <w:sz w:val="20"/>
        </w:rPr>
        <w:t>A dedicated database/sql/ directory containing clean, standalone .sql files for all tables, triggers, procedures, views, and indexes for pgAdmin evaluation.</w:t>
      </w:r>
    </w:p>
    <w:p>
      <w:pPr>
        <w:pStyle w:val="ListBullet"/>
        <w:spacing w:before="20" w:after="40" w:line="276" w:lineRule="auto"/>
      </w:pPr>
      <w:r>
        <w:rPr>
          <w:rFonts w:ascii="Calibri" w:hAnsi="Calibri"/>
          <w:b/>
          <w:color w:val="1F2937"/>
          <w:sz w:val="20"/>
        </w:rPr>
        <w:t xml:space="preserve">B. Zero-Downtime Migrations: </w:t>
      </w:r>
      <w:r>
        <w:rPr>
          <w:rFonts w:ascii="Calibri" w:hAnsi="Calibri"/>
          <w:color w:val="1F2937"/>
          <w:sz w:val="20"/>
        </w:rPr>
        <w:t>Django native migrations that execute the SQL schema alterations and populate new lookup tables without data loss.</w:t>
      </w:r>
    </w:p>
    <w:p>
      <w:pPr>
        <w:pStyle w:val="ListBullet"/>
        <w:spacing w:before="20" w:after="40" w:line="276" w:lineRule="auto"/>
      </w:pPr>
      <w:r>
        <w:rPr>
          <w:rFonts w:ascii="Calibri" w:hAnsi="Calibri"/>
          <w:b/>
          <w:color w:val="1F2937"/>
          <w:sz w:val="20"/>
        </w:rPr>
        <w:t xml:space="preserve">C. Test Suite Verification: </w:t>
      </w:r>
      <w:r>
        <w:rPr>
          <w:rFonts w:ascii="Calibri" w:hAnsi="Calibri"/>
          <w:color w:val="1F2937"/>
          <w:sz w:val="20"/>
        </w:rPr>
        <w:t>A comprehensive suite of automated tests verifying every trigger and stored procedure against concurrency conditions.</w:t>
      </w:r>
    </w:p>
    <w:p>
      <w:pPr>
        <w:pStyle w:val="ListBullet"/>
        <w:spacing w:before="20" w:after="40" w:line="276" w:lineRule="auto"/>
      </w:pPr>
      <w:r>
        <w:rPr>
          <w:rFonts w:ascii="Calibri" w:hAnsi="Calibri"/>
          <w:b/>
          <w:color w:val="1F2937"/>
          <w:sz w:val="20"/>
        </w:rPr>
        <w:t xml:space="preserve">D. Academic Documentation: </w:t>
      </w:r>
      <w:r>
        <w:rPr>
          <w:rFonts w:ascii="Calibri" w:hAnsi="Calibri"/>
          <w:color w:val="1F2937"/>
          <w:sz w:val="20"/>
        </w:rPr>
        <w:t>A standalone NORMALIZATION.md document detailing the functional dependencies and normalization proofs for evaluator defense.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