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רעיונות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לגרסא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חדשה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רנדומלית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highlight w:val="white"/>
          <w:rtl w:val="1"/>
        </w:rPr>
        <w:t xml:space="preserve">לאפשר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למשתמש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לצלם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שקשורות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כנסת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הצעת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האפליקציה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שהתמונות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הללו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נגישות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באתר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highlight w:val="white"/>
          <w:rtl w:val="1"/>
        </w:rPr>
        <w:t xml:space="preserve">לאפשר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למשתמש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להרשם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להודעות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הפגנות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התואמות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האג</w:t>
      </w:r>
      <w:r w:rsidDel="00000000" w:rsidR="00000000" w:rsidRPr="00000000">
        <w:rPr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highlight w:val="white"/>
          <w:rtl w:val="1"/>
        </w:rPr>
        <w:t xml:space="preserve">נדה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בקרבת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נמצא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בטווח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חצי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שעה</w:t>
      </w:r>
      <w:r w:rsidDel="00000000" w:rsidR="00000000" w:rsidRPr="00000000">
        <w:rPr>
          <w:color w:val="222222"/>
          <w:highlight w:val="white"/>
          <w:rtl w:val="1"/>
        </w:rPr>
        <w:t xml:space="preserve"> .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יאפשר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לאנשים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אקטיביזם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ספונטני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