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14613" cy="1378538"/>
            <wp:effectExtent b="0" l="0" r="0" t="0"/>
            <wp:docPr descr="pkw_logo_tagline.png" id="1" name="image1.png"/>
            <a:graphic>
              <a:graphicData uri="http://schemas.openxmlformats.org/drawingml/2006/picture">
                <pic:pic>
                  <pic:nvPicPr>
                    <pic:cNvPr descr="pkw_logo_tagline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1378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2014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לכבוד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יושב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יולי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אדלשטיין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הנדון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1"/>
        </w:rPr>
        <w:t xml:space="preserve">ממשק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1"/>
        </w:rPr>
        <w:t xml:space="preserve">לאתר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1"/>
        </w:rPr>
        <w:t xml:space="preserve">הכנסת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1"/>
          </w:rPr>
          <w:t xml:space="preserve">הסדנא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1"/>
          </w:rPr>
          <w:t xml:space="preserve">לידע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1"/>
          </w:rPr>
          <w:t xml:space="preserve">ציבורי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הנה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עמותה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טכנולוגית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למטרה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לשחרר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ולהנגיש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ולקדם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שקיפות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והשתתפות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האזרחית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הדמוקרטיה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והכלכלה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הסדנא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מפתחת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אתרי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אינטרט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ואפליקציות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1"/>
          </w:rPr>
          <w:t xml:space="preserve">כנסת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1"/>
          </w:rPr>
          <w:t xml:space="preserve">פתוחה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1"/>
          </w:rPr>
          <w:t xml:space="preserve">התקציב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1"/>
          </w:rPr>
          <w:t xml:space="preserve">הפתוח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מתנדבים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מהשורה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תוכנה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ואקטיביזם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אזרחי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הסדנא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מתנועה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גלובלית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ממשלות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וחברה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אזרחית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שמבקשים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לקדם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ממשל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פתוח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כחמש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שוקדים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המתנדבים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פתוחה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שמאפשר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אזרח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לעקוב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הצעות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שמספק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חשובים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נמצאים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לעקוב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החקיקה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שלמרגע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הצעת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לקריאה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שלישית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משרת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- 20,000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אזרחים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בחודש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וארגוני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האוניברסיטה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המכון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לדמוקרטיה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המתישות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העומדות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המתנדבים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גרד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מאתר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גירוד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מאתר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נאסף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מתישה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המפתחים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אלינו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קלה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ונוחה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לשפר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פתוחה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ולאפשר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ונציגיו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לתקשר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מבזבזים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זמננו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בהתאמת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גרידת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העוברים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גירוד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ולאפשר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פרלמנטים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מספקים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למפתחי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תוכנה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מהמגמה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לפתיחה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ולהנגשה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הקונגרס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האמריקאי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הפרלמנט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הבריטי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והבונדסטאג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הגרמני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לאתר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פותח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שמוצג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בעמוד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פרלמנטרי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נגיש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לצערנו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עובד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מספק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וחסר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מבקשים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שיוקדשו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יומיים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3-4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מפתחים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ביחד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מתנדבי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פתוחה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שביחד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נוכל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הדרוש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ולהעמיד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יאפשר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לשפר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ויעודד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פיתוחים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טכנולוגיים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מבוססי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שהכנסת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משחררת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יעביר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מסר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וחד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פתוחה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ושקופה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לאזרחיה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center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שבי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קורזן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מנכ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,</w:t>
            </w:r>
          </w:p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הסדנא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ציבורי</w:t>
            </w:r>
          </w:p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055-8837613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דאון</w:t>
            </w:r>
          </w:p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טכנולוג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,</w:t>
            </w:r>
          </w:p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הסדנא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לידע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1"/>
              </w:rPr>
              <w:t xml:space="preserve">ציבורי</w:t>
            </w:r>
          </w:p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0544-858101</w:t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7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7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57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hasadna.org.il/" TargetMode="External"/><Relationship Id="rId10" Type="http://schemas.openxmlformats.org/officeDocument/2006/relationships/hyperlink" Target="http://www.hasadna.org.il/" TargetMode="External"/><Relationship Id="rId13" Type="http://schemas.openxmlformats.org/officeDocument/2006/relationships/hyperlink" Target="http://oknesset.org/" TargetMode="External"/><Relationship Id="rId12" Type="http://schemas.openxmlformats.org/officeDocument/2006/relationships/hyperlink" Target="http://oknesset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hasadna.org.il/" TargetMode="External"/><Relationship Id="rId15" Type="http://schemas.openxmlformats.org/officeDocument/2006/relationships/hyperlink" Target="http://budget.msh.gov.il/#00,2010,0,1,1,1,0,0,0,0,0,0" TargetMode="External"/><Relationship Id="rId14" Type="http://schemas.openxmlformats.org/officeDocument/2006/relationships/hyperlink" Target="http://oknesset.org/" TargetMode="External"/><Relationship Id="rId17" Type="http://schemas.openxmlformats.org/officeDocument/2006/relationships/hyperlink" Target="http://budget.msh.gov.il/#00,2010,0,1,1,1,0,0,0,0,0,0" TargetMode="External"/><Relationship Id="rId16" Type="http://schemas.openxmlformats.org/officeDocument/2006/relationships/hyperlink" Target="http://budget.msh.gov.il/#00,2010,0,1,1,1,0,0,0,0,0,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hasadna.org.il/" TargetMode="External"/><Relationship Id="rId8" Type="http://schemas.openxmlformats.org/officeDocument/2006/relationships/hyperlink" Target="http://www.hasadna.org.i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