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C9A961" w:sz="16"/>
              <w:right w:val="none" w:color="FFFFFF" w:sz="0"/>
            </w:tcBorders>
            <w:shd w:fill="1F3A5F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A961"/>
                <w:spacing w:val="40"/>
                <w:sz w:val="18"/>
                <w:szCs w:val="18"/>
              </w:rPr>
              <w:t xml:space="preserve">EXECUTIVE SUMMARY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StageAgent — 24-Month Outlook</w:t>
            </w:r>
          </w:p>
          <w:p>
            <w:r>
              <w:rPr>
                <w:rFonts w:ascii="Calibri" w:cs="Calibri" w:eastAsia="Calibri" w:hAnsi="Calibri"/>
                <w:i/>
                <w:iCs/>
                <w:color w:val="E8E2D0"/>
                <w:sz w:val="20"/>
                <w:szCs w:val="20"/>
              </w:rPr>
              <w:t xml:space="preserve">Strategic assessment based on Mirofish simulation output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C9A961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Bottom line</w:t>
      </w:r>
    </w:p>
    <w:p>
      <w:pPr>
        <w:spacing w:after="12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Default trajectory: </w:t>
      </w:r>
      <w:r>
        <w:rPr>
          <w:rFonts w:ascii="Calibri" w:cs="Calibri" w:eastAsia="Calibri" w:hAnsi="Calibri"/>
          <w:sz w:val="22"/>
          <w:szCs w:val="22"/>
        </w:rPr>
        <w:t xml:space="preserve">Mirofish puts StageAgent at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~6% probability</w:t>
      </w:r>
      <w:r>
        <w:rPr>
          <w:rFonts w:ascii="Calibri" w:cs="Calibri" w:eastAsia="Calibri" w:hAnsi="Calibri"/>
          <w:sz w:val="22"/>
          <w:szCs w:val="22"/>
        </w:rPr>
        <w:t xml:space="preserve"> of reaching $1M ARR. The dominant failure mode (55%) is not a blow-up — it’s a quiet stall 6–12 months after MVP: zero PMF, zero revenue, partnership entropy.</w:t>
      </w:r>
    </w:p>
    <w:p>
      <w:pPr>
        <w:spacing w:after="12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Achievable trajectory: </w:t>
      </w:r>
      <w:r>
        <w:rPr>
          <w:rFonts w:ascii="Calibri" w:cs="Calibri" w:eastAsia="Calibri" w:hAnsi="Calibri"/>
          <w:sz w:val="22"/>
          <w:szCs w:val="22"/>
        </w:rPr>
        <w:t xml:space="preserve">If five specific decisions are executed cleanly, survival odds climb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15–20%</w:t>
      </w:r>
      <w:r>
        <w:rPr>
          <w:rFonts w:ascii="Calibri" w:cs="Calibri" w:eastAsia="Calibri" w:hAnsi="Calibri"/>
          <w:sz w:val="22"/>
          <w:szCs w:val="22"/>
        </w:rPr>
        <w:t xml:space="preserve"> — and arguably higher, because four of those five decisions are entirely within your control and cost nothing to execute.</w:t>
      </w:r>
    </w:p>
    <w:p>
      <w:pPr>
        <w:spacing w:after="12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strategic frame: </w:t>
      </w:r>
      <w:r>
        <w:rPr>
          <w:rFonts w:ascii="Calibri" w:cs="Calibri" w:eastAsia="Calibri" w:hAnsi="Calibri"/>
          <w:sz w:val="22"/>
          <w:szCs w:val="22"/>
        </w:rPr>
        <w:t xml:space="preserve">Do not race Day.ai and Coffee AI on features. Find a vertical they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structurally cannot serve</w:t>
      </w:r>
      <w:r>
        <w:rPr>
          <w:rFonts w:ascii="Calibri" w:cs="Calibri" w:eastAsia="Calibri" w:hAnsi="Calibri"/>
          <w:sz w:val="22"/>
          <w:szCs w:val="22"/>
        </w:rPr>
        <w:t xml:space="preserve"> — and own it.</w:t>
      </w:r>
    </w:p>
    <w:p>
      <w:pPr>
        <w:pBdr>
          <w:bottom w:val="single" w:color="C9A961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The five decisions that move the odds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400"/>
        <w:gridCol w:w="416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requires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Written partnership agreement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Week 1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Equity, decision rights, exit terms, IP — signed, not handshake.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Pick one vertical and commit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 1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Lean into regulated or recording-restricted niches (biotech BD, legal, healthcare). 12-month minimum.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Distribution validation gate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 5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POC in front of 10 sales leaders. If conversion &lt;10%, change channel — not contact count.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Faisal full-time commitment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 3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Part-time founders lose to full-time. Decide honestly.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Capital path defined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 4–6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First revenue by Month 4 — extend runway through paying customers before considering a raise.</w:t>
            </w:r>
          </w:p>
        </w:tc>
      </w:tr>
    </w:tbl>
    <w:p>
      <w:pPr>
        <w:pBdr>
          <w:bottom w:val="single" w:color="C9A961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Where the real moat lives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Day.ai's product depends on call recording. Coffee AI rides on top of Salesforce/HubSpot. Both are horizontal, hype-cycle plays. Neither can legally operate in industries with two-party consent requirements or stringent recording restrictions: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Regulated verticals</w:t>
      </w:r>
      <w:r>
        <w:rPr>
          <w:rFonts w:ascii="Calibri" w:cs="Calibri" w:eastAsia="Calibri" w:hAnsi="Calibri"/>
          <w:sz w:val="22"/>
          <w:szCs w:val="22"/>
        </w:rPr>
        <w:t xml:space="preserve"> — biotech business development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Regulated verticals</w:t>
      </w:r>
      <w:r>
        <w:rPr>
          <w:rFonts w:ascii="Calibri" w:cs="Calibri" w:eastAsia="Calibri" w:hAnsi="Calibri"/>
          <w:sz w:val="22"/>
          <w:szCs w:val="22"/>
        </w:rPr>
        <w:t xml:space="preserve"> — healthcare and medical device sales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Regulated verticals</w:t>
      </w:r>
      <w:r>
        <w:rPr>
          <w:rFonts w:ascii="Calibri" w:cs="Calibri" w:eastAsia="Calibri" w:hAnsi="Calibri"/>
          <w:sz w:val="22"/>
          <w:szCs w:val="22"/>
        </w:rPr>
        <w:t xml:space="preserve"> — legal services and financial advisory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Regulated verticals</w:t>
      </w:r>
      <w:r>
        <w:rPr>
          <w:rFonts w:ascii="Calibri" w:cs="Calibri" w:eastAsia="Calibri" w:hAnsi="Calibri"/>
          <w:sz w:val="22"/>
          <w:szCs w:val="22"/>
        </w:rPr>
        <w:t xml:space="preserve"> — defense and government contracting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This is not a temporary window. It is a structural exclusion zone the funded competitors cannot enter without rebuilding their products. A rep-narrative input model (sales rep tells the system what happened, AI categorizes the stage) is the right tool for exactly these markets. That is the actual differentiation — not features, but a buyer profile the incumbents can't legally close.</w:t>
      </w:r>
    </w:p>
    <w:p>
      <w:pPr>
        <w:pBdr>
          <w:bottom w:val="single" w:color="C9A961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Top risks to manage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execution —</w:t>
      </w:r>
      <w:r>
        <w:rPr>
          <w:rFonts w:ascii="Calibri" w:cs="Calibri" w:eastAsia="Calibri" w:hAnsi="Calibri"/>
          <w:sz w:val="22"/>
          <w:szCs w:val="22"/>
        </w:rPr>
        <w:t xml:space="preserve"> Two non-traditional engineers building AI SaaS. If the stage classifier can't hit 80%+ accuracy by Month 3, the project stalls before MVP.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Distribution falsification —</w:t>
      </w:r>
      <w:r>
        <w:rPr>
          <w:rFonts w:ascii="Calibri" w:cs="Calibri" w:eastAsia="Calibri" w:hAnsi="Calibri"/>
          <w:sz w:val="22"/>
          <w:szCs w:val="22"/>
        </w:rPr>
        <w:t xml:space="preserve"> Founder network conversion below 10% by Month 5 = silent death. Plan B (vertical conferences, analyst placements, self-serve demo) must be loaded and ready, not invented after the fact.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Partnership collapse —</w:t>
      </w:r>
      <w:r>
        <w:rPr>
          <w:rFonts w:ascii="Calibri" w:cs="Calibri" w:eastAsia="Calibri" w:hAnsi="Calibri"/>
          <w:sz w:val="22"/>
          <w:szCs w:val="22"/>
        </w:rPr>
        <w:t xml:space="preserve"> Friendship-based partnerships fail in Month 6 when the first hard tradeoff arrives. The written agreement in Week 1 is the cheapest insurance policy in the entire plan.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Capital asymmetry —</w:t>
      </w:r>
      <w:r>
        <w:rPr>
          <w:rFonts w:ascii="Calibri" w:cs="Calibri" w:eastAsia="Calibri" w:hAnsi="Calibri"/>
          <w:sz w:val="22"/>
          <w:szCs w:val="22"/>
        </w:rPr>
        <w:t xml:space="preserve"> Zero capital against $24M Sequoia and Salesforce Ventures backing. Only viable answer: revenue before runway — first paying customer by Month 4.</w:t>
      </w:r>
    </w:p>
    <w:p>
      <w:pPr>
        <w:pBdr>
          <w:bottom w:val="single" w:color="C9A961" w:sz="8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3A5F"/>
          <w:sz w:val="28"/>
          <w:szCs w:val="28"/>
        </w:rPr>
        <w:t xml:space="preserve">Recommendation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Proceed — conditionally. The 6% headline number reflects default execution. Four of the five survival decisions cost nothing and depend only on discipline: sign the agreement, pick the vertical, hold the Month 5 gate, and Faisal commits full-time by Month 3. Execute those four cleanly and the realistic odds floor is meaningfully higher than the simulation suggests.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The decision that actually matters: Faisal goes full-time by Month 3, or this is not a real venture. Everything else flows from that.</w:t>
      </w:r>
    </w:p>
    <w:p>
      <w:p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Sequence the next 30 days as follows: written agreement this week → vertical selection by end of Week 2 (recommend biotech BD or healthcare sales as the lead candidates) → 10 named target customers in that vertical by end of Week 4 → POC scope locked against that customer list by Day 30.</w:t>
      </w:r>
    </w:p>
    <w:p>
      <w:pPr>
        <w:spacing w:after="120" w:line="28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Prepared for Faisal  •  Source: Mirofish 24-month simulation output, with strategic interpretation.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StageAgent Executive Summary  •  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of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C9A96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StageAgent Executive Summary</dc:title>
  <dc:creator>Kurt Riedel</dc:creator>
  <cp:lastModifiedBy>Un-named</cp:lastModifiedBy>
  <cp:revision>1</cp:revision>
  <dcterms:created xsi:type="dcterms:W3CDTF">2026-05-27T19:33:06.484Z</dcterms:created>
  <dcterms:modified xsi:type="dcterms:W3CDTF">2026-05-27T19:33:06.486Z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