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rPr>
          <w:b/>
        </w:rPr>
        <w:t xml:space="preserve">YOUR</w:t>
      </w:r>
      <w:r>
        <w:rPr>
          <w:b/>
        </w:rPr>
        <w:t xml:space="preserve"> </w:t>
      </w:r>
      <w:r>
        <w:rPr>
          <w:b/>
        </w:rPr>
        <w:t xml:space="preserve">NAME</w:t>
      </w:r>
      <w:r>
        <w:br w:type="textWrapping"/>
      </w:r>
      <w:r>
        <w:rPr>
          <w:b/>
        </w:rPr>
        <w:t xml:space="preserve">YOUR</w:t>
      </w:r>
      <w:r>
        <w:rPr>
          <w:b/>
        </w:rPr>
        <w:t xml:space="preserve"> </w:t>
      </w:r>
      <w:r>
        <w:rPr>
          <w:b/>
        </w:rPr>
        <w:t xml:space="preserve">GIT</w:t>
      </w:r>
      <w:r>
        <w:rPr>
          <w:b/>
        </w:rPr>
        <w:t xml:space="preserve"> </w:t>
      </w:r>
      <w:r>
        <w:rPr>
          <w:b/>
        </w:rPr>
        <w:t xml:space="preserve">USERNAME</w:t>
      </w:r>
      <w:r>
        <w:br w:type="textWrapping"/>
      </w:r>
      <w:r>
        <w:rPr>
          <w:b/>
        </w:rPr>
        <w:t xml:space="preserve">YOUR</w:t>
      </w:r>
      <w:r>
        <w:rPr>
          <w:b/>
        </w:rPr>
        <w:t xml:space="preserve"> </w:t>
      </w:r>
      <w:r>
        <w:rPr>
          <w:b/>
        </w:rPr>
        <w:t xml:space="preserve">E-MAIL</w:t>
      </w:r>
    </w:p>
    <w:p>
      <w:pPr>
        <w:pStyle w:val="Author"/>
      </w:pPr>
      <w:r>
        <w:rPr>
          <w:b/>
        </w:rPr>
        <w:t xml:space="preserve">YOUR</w:t>
      </w:r>
      <w:r>
        <w:rPr>
          <w:b/>
        </w:rPr>
        <w:t xml:space="preserve"> </w:t>
      </w:r>
      <w:r>
        <w:rPr>
          <w:b/>
        </w:rPr>
        <w:t xml:space="preserve">NAME</w:t>
      </w:r>
      <w:r>
        <w:br w:type="textWrapping"/>
      </w:r>
      <w:r>
        <w:rPr>
          <w:b/>
        </w:rPr>
        <w:t xml:space="preserve">YOUR</w:t>
      </w:r>
      <w:r>
        <w:rPr>
          <w:b/>
        </w:rPr>
        <w:t xml:space="preserve"> </w:t>
      </w:r>
      <w:r>
        <w:rPr>
          <w:b/>
        </w:rPr>
        <w:t xml:space="preserve">GIT</w:t>
      </w:r>
      <w:r>
        <w:rPr>
          <w:b/>
        </w:rPr>
        <w:t xml:space="preserve"> </w:t>
      </w:r>
      <w:r>
        <w:rPr>
          <w:b/>
        </w:rPr>
        <w:t xml:space="preserve">USERNAME</w:t>
      </w:r>
      <w:r>
        <w:br w:type="textWrapping"/>
      </w:r>
      <w:r>
        <w:rPr>
          <w:b/>
        </w:rPr>
        <w:t xml:space="preserve">YOUR</w:t>
      </w:r>
      <w:r>
        <w:rPr>
          <w:b/>
        </w:rPr>
        <w:t xml:space="preserve"> </w:t>
      </w:r>
      <w:r>
        <w:rPr>
          <w:b/>
        </w:rPr>
        <w:t xml:space="preserve">E-MAIL</w:t>
      </w:r>
    </w:p>
    <w:p>
      <w:pPr>
        <w:pStyle w:val="Heading1"/>
      </w:pPr>
      <w:bookmarkStart w:id="20" w:name="multisource-joins"/>
      <w:r>
        <w:t xml:space="preserve">Multisource Joins</w:t>
      </w:r>
      <w:bookmarkEnd w:id="20"/>
    </w:p>
    <w:p>
      <w:pPr>
        <w:pStyle w:val="FirstParagraph"/>
      </w:pPr>
      <w:r>
        <w:t xml:space="preserve">News articles are commonly aggregated from multiple sites and companies. The landscape of news has been evolving ever since social media has amplified its effects. In politics, Congress has explored the topic of bias with the diversity of news sources. That is, news articles may cover news stories with differing perspectives and language.</w:t>
      </w:r>
      <w:r>
        <w:br w:type="textWrapping"/>
      </w:r>
      <w:r>
        <w:t xml:space="preserve">The data that we will be using today comes from Kaggle, and it is available</w:t>
      </w:r>
      <w:r>
        <w:t xml:space="preserve"> </w:t>
      </w:r>
      <w:hyperlink r:id="rId21">
        <w:r>
          <w:rPr>
            <w:rStyle w:val="Hyperlink"/>
          </w:rPr>
          <w:t xml:space="preserve">here</w:t>
        </w:r>
      </w:hyperlink>
      <w:r>
        <w:t xml:space="preserve">. There are two CSV files that we wish to join in this week’s homework:</w:t>
      </w:r>
    </w:p>
    <w:p>
      <w:pPr>
        <w:numPr>
          <w:numId w:val="1001"/>
          <w:ilvl w:val="0"/>
        </w:numPr>
      </w:pPr>
      <w:r>
        <w:rPr>
          <w:rStyle w:val="VerbatimChar"/>
        </w:rPr>
        <w:t xml:space="preserve">data/id_titles.csv</w:t>
      </w:r>
    </w:p>
    <w:p>
      <w:pPr>
        <w:numPr>
          <w:numId w:val="1001"/>
          <w:ilvl w:val="0"/>
        </w:numPr>
      </w:pPr>
      <w:r>
        <w:rPr>
          <w:rStyle w:val="VerbatimChar"/>
        </w:rPr>
        <w:t xml:space="preserve">data/id_publishers.csv</w:t>
      </w:r>
    </w:p>
    <w:p>
      <w:pPr>
        <w:pStyle w:val="FirstParagraph"/>
      </w:pPr>
      <w:r>
        <w:t xml:space="preserve">As there name suggests, there is publishing data associated with articles and there is title and description information associated with the same articles. Each table has many instances, and each instance for both tables have an associated ID, where it is possible to join the two data sources.</w:t>
      </w:r>
    </w:p>
    <w:p>
      <w:pPr>
        <w:pStyle w:val="BodyText"/>
      </w:pPr>
      <w:r>
        <w:t xml:space="preserve">In this particular case, there is some missing information in the join. Your task is as follows.</w:t>
      </w:r>
      <w:r>
        <w:br w:type="textWrapping"/>
      </w:r>
      <w:r>
        <w:br w:type="textWrapping"/>
      </w:r>
      <w:r>
        <w:br w:type="textWrapping"/>
      </w:r>
      <w:r>
        <w:rPr>
          <w:b/>
        </w:rPr>
        <w:t xml:space="preserve">Question 1 a.)</w:t>
      </w:r>
    </w:p>
    <w:p>
      <w:pPr>
        <w:numPr>
          <w:numId w:val="1002"/>
          <w:ilvl w:val="0"/>
        </w:numPr>
      </w:pPr>
      <w:r>
        <w:t xml:space="preserve">Write out a file that has all the publishers for which there are no titles, called publishers_no_titles.txt. This table should look something like the below (ignore the values):</w:t>
      </w:r>
      <w:r>
        <w:br w:type="textWrapping"/>
      </w:r>
      <w:r>
        <w:drawing>
          <wp:inline>
            <wp:extent cx="3599999" cy="1736202"/>
            <wp:effectExtent b="0" l="0" r="0" t="0"/>
            <wp:docPr descr="image" title="" id="1" name="Picture"/>
            <a:graphic>
              <a:graphicData uri="http://schemas.openxmlformats.org/drawingml/2006/picture">
                <pic:pic>
                  <pic:nvPicPr>
                    <pic:cNvPr descr="images/pub_no_title.png" id="0" name="Picture"/>
                    <pic:cNvPicPr>
                      <a:picLocks noChangeArrowheads="1" noChangeAspect="1"/>
                    </pic:cNvPicPr>
                  </pic:nvPicPr>
                  <pic:blipFill>
                    <a:blip r:embed="rId22"/>
                    <a:stretch>
                      <a:fillRect/>
                    </a:stretch>
                  </pic:blipFill>
                  <pic:spPr bwMode="auto">
                    <a:xfrm>
                      <a:off x="0" y="0"/>
                      <a:ext cx="3599999" cy="1736202"/>
                    </a:xfrm>
                    <a:prstGeom prst="rect">
                      <a:avLst/>
                    </a:prstGeom>
                    <a:noFill/>
                    <a:ln w="9525">
                      <a:noFill/>
                      <a:headEnd/>
                      <a:tailEnd/>
                    </a:ln>
                  </pic:spPr>
                </pic:pic>
              </a:graphicData>
            </a:graphic>
          </wp:inline>
        </w:drawing>
      </w:r>
    </w:p>
    <w:p>
      <w:pPr>
        <w:pStyle w:val="FirstParagraph"/>
      </w:pPr>
      <w:r>
        <w:t xml:space="preserve">.</w:t>
      </w:r>
      <w:r>
        <w:t xml:space="preserve"> </w:t>
      </w:r>
      <w:r>
        <w:t xml:space="preserve">.</w:t>
      </w:r>
      <w:r>
        <w:br w:type="textWrapping"/>
      </w:r>
      <w:r>
        <w:rPr>
          <w:b/>
        </w:rPr>
        <w:t xml:space="preserve">Question 1 b.)</w:t>
      </w:r>
    </w:p>
    <w:p>
      <w:pPr>
        <w:numPr>
          <w:numId w:val="1003"/>
          <w:ilvl w:val="0"/>
        </w:numPr>
      </w:pPr>
      <w:r>
        <w:t xml:space="preserve">Write out a file that has all the publishers for which there are no titles, called titles_no_publishers.txt. That table should look something like the below (ignore the values):</w:t>
      </w:r>
      <w:r>
        <w:br w:type="textWrapping"/>
      </w:r>
      <w:r>
        <w:drawing>
          <wp:inline>
            <wp:extent cx="5334000" cy="1168743"/>
            <wp:effectExtent b="0" l="0" r="0" t="0"/>
            <wp:docPr descr="image" title="" id="1" name="Picture"/>
            <a:graphic>
              <a:graphicData uri="http://schemas.openxmlformats.org/drawingml/2006/picture">
                <pic:pic>
                  <pic:nvPicPr>
                    <pic:cNvPr descr="images/title_no_pub.png" id="0" name="Picture"/>
                    <pic:cNvPicPr>
                      <a:picLocks noChangeArrowheads="1" noChangeAspect="1"/>
                    </pic:cNvPicPr>
                  </pic:nvPicPr>
                  <pic:blipFill>
                    <a:blip r:embed="rId23"/>
                    <a:stretch>
                      <a:fillRect/>
                    </a:stretch>
                  </pic:blipFill>
                  <pic:spPr bwMode="auto">
                    <a:xfrm>
                      <a:off x="0" y="0"/>
                      <a:ext cx="5334000" cy="1168743"/>
                    </a:xfrm>
                    <a:prstGeom prst="rect">
                      <a:avLst/>
                    </a:prstGeom>
                    <a:noFill/>
                    <a:ln w="9525">
                      <a:noFill/>
                      <a:headEnd/>
                      <a:tailEnd/>
                    </a:ln>
                  </pic:spPr>
                </pic:pic>
              </a:graphicData>
            </a:graphic>
          </wp:inline>
        </w:drawing>
      </w:r>
    </w:p>
    <w:p>
      <w:pPr>
        <w:pStyle w:val="Heading1"/>
      </w:pPr>
      <w:bookmarkStart w:id="24" w:name="frequent-itemsets"/>
      <w:r>
        <w:t xml:space="preserve">Frequent Itemsets</w:t>
      </w:r>
      <w:bookmarkEnd w:id="24"/>
    </w:p>
    <w:p>
      <w:pPr>
        <w:pStyle w:val="Heading2"/>
      </w:pPr>
      <w:bookmarkStart w:id="25" w:name="what-are-the-frequent-itemset-rules"/>
      <w:r>
        <w:t xml:space="preserve">What are the frequent itemset rules?</w:t>
      </w:r>
      <w:bookmarkEnd w:id="25"/>
    </w:p>
    <w:p>
      <w:pPr>
        <w:pStyle w:val="FirstParagraph"/>
      </w:pPr>
      <w:r>
        <w:rPr>
          <w:b/>
        </w:rPr>
        <w:t xml:space="preserve">Question 2</w:t>
      </w:r>
      <w:r>
        <w:t xml:space="preserve"> </w:t>
      </w:r>
      <w:r>
        <w:t xml:space="preserve">What are the frequent itemset rules</w:t>
      </w:r>
    </w:p>
    <w:p>
      <w:pPr>
        <w:pStyle w:val="Heading1"/>
      </w:pPr>
      <w:bookmarkStart w:id="26" w:name="parameter-estimation"/>
      <w:r>
        <w:t xml:space="preserve">Parameter Estimation</w:t>
      </w:r>
      <w:bookmarkEnd w:id="26"/>
    </w:p>
    <w:p>
      <w:pPr>
        <w:pStyle w:val="FirstParagraph"/>
      </w:pPr>
      <w:r>
        <w:t xml:space="preserve">In the data provided by j</w:t>
      </w:r>
    </w:p>
    <w:p>
      <w:pPr>
        <w:pStyle w:val="Heading1"/>
      </w:pPr>
      <w:bookmarkStart w:id="27" w:name="k-means"/>
      <w:r>
        <w:t xml:space="preserve">K-Means</w:t>
      </w:r>
      <w:bookmarkEnd w:id="27"/>
    </w:p>
    <w:p>
      <w:pPr>
        <w:pStyle w:val="FirstParagraph"/>
      </w:pPr>
      <w:r>
        <w:t xml:space="preserve">The </w:t>
      </w:r>
      <w:hyperlink r:id="rId28">
        <w:r>
          <w:rPr>
            <w:rStyle w:val="Hyperlink"/>
          </w:rPr>
          <w:t xml:space="preserve">normalized automobile distributor timing speed and ignition coil gaps</w:t>
        </w:r>
      </w:hyperlink>
      <w:r>
        <w:t xml:space="preserve"> </w:t>
      </w:r>
      <w:r>
        <w:t xml:space="preserve">for production F-150 trucks over the years of 1996, 1999, 2006, 2015, and 2022. We have stripped out the labels for the five years of data.</w:t>
      </w:r>
      <w:r>
        <w:br w:type="textWrapping"/>
      </w:r>
      <w:r>
        <w:rPr>
          <w:b/>
        </w:rPr>
        <w:t xml:space="preserve">Question 3</w:t>
      </w:r>
      <w:r>
        <w:br w:type="textWrapping"/>
      </w:r>
      <w:r>
        <w:t xml:space="preserve">Implement a simple</w:t>
      </w:r>
      <w:r>
        <w:t xml:space="preserve"> </w:t>
      </w:r>
      <m:oMath>
        <m:r>
          <m:t>k</m:t>
        </m:r>
      </m:oMath>
      <w:r>
        <w:t xml:space="preserve">-means algorithm in Python on Colab with the following initialization:</w:t>
      </w:r>
    </w:p>
    <w:p>
      <w:pPr>
        <w:pStyle w:val="BodyText"/>
      </w:pPr>
      <m:oMathPara>
        <m:oMathParaPr>
          <m:jc m:val="center"/>
        </m:oMathParaPr>
        <m:oMath>
          <m:sSub>
            <m:e>
              <m:r>
                <m:rPr>
                  <m:nor/>
                  <m:sty m:val="b"/>
                </m:rPr>
                <m:t>x</m:t>
              </m:r>
            </m:e>
            <m:sub>
              <m:r>
                <m:t>1</m:t>
              </m:r>
            </m:sub>
          </m:sSub>
          <m:r>
            <m:t>=</m:t>
          </m:r>
          <m:d>
            <m:dPr>
              <m:begChr m:val="("/>
              <m:endChr m:val=")"/>
              <m:grow/>
            </m:dPr>
            <m:e>
              <m:m>
                <m:mPr>
                  <m:baseJc m:val="center"/>
                  <m:plcHide m:val="1"/>
                  <m:mcs>
                    <m:mc>
                      <m:mcPr>
                        <m:mcJc m:val="center"/>
                        <m:count m:val="1"/>
                      </m:mcPr>
                    </m:mc>
                  </m:mcs>
                </m:mPr>
                <m:mr>
                  <m:e>
                    <m:r>
                      <m:t>10</m:t>
                    </m:r>
                  </m:e>
                </m:mr>
                <m:mr>
                  <m:e>
                    <m:r>
                      <m:t>10</m:t>
                    </m:r>
                  </m:e>
                </m:mr>
              </m:m>
            </m:e>
          </m:d>
          <m:r>
            <m:t>,</m:t>
          </m:r>
          <m:sSub>
            <m:e>
              <m:r>
                <m:rPr>
                  <m:nor/>
                  <m:sty m:val="b"/>
                </m:rPr>
                <m:t>x</m:t>
              </m:r>
            </m:e>
            <m:sub>
              <m:r>
                <m:t>2</m:t>
              </m:r>
            </m:sub>
          </m:sSub>
          <m:r>
            <m:t>=</m:t>
          </m:r>
          <m:d>
            <m:dPr>
              <m:begChr m:val="("/>
              <m:endChr m:val=")"/>
              <m:grow/>
            </m:dPr>
            <m:e>
              <m:m>
                <m:mPr>
                  <m:baseJc m:val="center"/>
                  <m:plcHide m:val="1"/>
                  <m:mcs>
                    <m:mc>
                      <m:mcPr>
                        <m:mcJc m:val="center"/>
                        <m:count m:val="1"/>
                      </m:mcPr>
                    </m:mc>
                  </m:mcs>
                </m:mPr>
                <m:mr>
                  <m:e>
                    <m:r>
                      <m:t>−</m:t>
                    </m:r>
                    <m:r>
                      <m:t>10</m:t>
                    </m:r>
                  </m:e>
                </m:mr>
                <m:mr>
                  <m:e>
                    <m:r>
                      <m:t>−</m:t>
                    </m:r>
                    <m:r>
                      <m:t>10</m:t>
                    </m:r>
                  </m:e>
                </m:mr>
              </m:m>
            </m:e>
          </m:d>
          <m:r>
            <m:t>,</m:t>
          </m:r>
          <m:sSub>
            <m:e>
              <m:r>
                <m:rPr>
                  <m:nor/>
                  <m:sty m:val="b"/>
                </m:rPr>
                <m:t>x</m:t>
              </m:r>
            </m:e>
            <m:sub>
              <m:r>
                <m:t>3</m:t>
              </m:r>
            </m:sub>
          </m:sSub>
          <m:r>
            <m:t>=</m:t>
          </m:r>
          <m:d>
            <m:dPr>
              <m:begChr m:val="("/>
              <m:endChr m:val=")"/>
              <m:grow/>
            </m:dPr>
            <m:e>
              <m:m>
                <m:mPr>
                  <m:baseJc m:val="center"/>
                  <m:plcHide m:val="1"/>
                  <m:mcs>
                    <m:mc>
                      <m:mcPr>
                        <m:mcJc m:val="center"/>
                        <m:count m:val="1"/>
                      </m:mcPr>
                    </m:mc>
                  </m:mcs>
                </m:mPr>
                <m:mr>
                  <m:e>
                    <m:r>
                      <m:t>2</m:t>
                    </m:r>
                  </m:e>
                </m:mr>
                <m:mr>
                  <m:e>
                    <m:r>
                      <m:t>2</m:t>
                    </m:r>
                  </m:e>
                </m:mr>
              </m:m>
            </m:e>
          </m:d>
          <m:r>
            <m:t>,</m:t>
          </m:r>
          <m:sSub>
            <m:e>
              <m:r>
                <m:rPr>
                  <m:nor/>
                  <m:sty m:val="b"/>
                </m:rPr>
                <m:t>x</m:t>
              </m:r>
            </m:e>
            <m:sub>
              <m:r>
                <m:t>4</m:t>
              </m:r>
            </m:sub>
          </m:sSub>
          <m:r>
            <m:t>=</m:t>
          </m:r>
          <m:d>
            <m:dPr>
              <m:begChr m:val="("/>
              <m:endChr m:val=")"/>
              <m:grow/>
            </m:dPr>
            <m:e>
              <m:m>
                <m:mPr>
                  <m:baseJc m:val="center"/>
                  <m:plcHide m:val="1"/>
                  <m:mcs>
                    <m:mc>
                      <m:mcPr>
                        <m:mcJc m:val="center"/>
                        <m:count m:val="1"/>
                      </m:mcPr>
                    </m:mc>
                  </m:mcs>
                </m:mPr>
                <m:mr>
                  <m:e>
                    <m:r>
                      <m:t>3</m:t>
                    </m:r>
                  </m:e>
                </m:mr>
                <m:mr>
                  <m:e>
                    <m:r>
                      <m:t>3</m:t>
                    </m:r>
                  </m:e>
                </m:mr>
              </m:m>
            </m:e>
          </m:d>
          <m:r>
            <m:t>,</m:t>
          </m:r>
          <m:sSub>
            <m:e>
              <m:r>
                <m:rPr>
                  <m:nor/>
                  <m:sty m:val="b"/>
                </m:rPr>
                <m:t>x</m:t>
              </m:r>
            </m:e>
            <m:sub>
              <m:r>
                <m:t>5</m:t>
              </m:r>
            </m:sub>
          </m:sSub>
          <m:r>
            <m:t>=</m:t>
          </m:r>
          <m:d>
            <m:dPr>
              <m:begChr m:val="("/>
              <m:endChr m:val=")"/>
              <m:grow/>
            </m:dPr>
            <m:e>
              <m:m>
                <m:mPr>
                  <m:baseJc m:val="center"/>
                  <m:plcHide m:val="1"/>
                  <m:mcs>
                    <m:mc>
                      <m:mcPr>
                        <m:mcJc m:val="center"/>
                        <m:count m:val="1"/>
                      </m:mcPr>
                    </m:mc>
                  </m:mcs>
                </m:mPr>
                <m:mr>
                  <m:e>
                    <m:r>
                      <m:t>−</m:t>
                    </m:r>
                    <m:r>
                      <m:t>3</m:t>
                    </m:r>
                  </m:e>
                </m:mr>
                <m:mr>
                  <m:e>
                    <m:r>
                      <m:t>−</m:t>
                    </m:r>
                    <m:r>
                      <m:t>3</m:t>
                    </m:r>
                  </m:e>
                </m:mr>
              </m:m>
            </m:e>
          </m:d>
          <m:r>
            <m:t>,</m:t>
          </m:r>
        </m:oMath>
      </m:oMathPara>
    </w:p>
    <w:p>
      <w:pPr>
        <w:pStyle w:val="FirstParagraph"/>
      </w:pPr>
      <w:r>
        <w:br w:type="textWrapping"/>
      </w:r>
      <w:r>
        <w:t xml:space="preserve">In order to main consistency between submissions, use a random seed of 27. You can do this with</w:t>
      </w:r>
      <w:r>
        <w:br w:type="textWrapping"/>
      </w:r>
    </w:p>
    <w:p>
      <w:pPr>
        <w:pStyle w:val="SourceCode"/>
      </w:pPr>
      <w:r>
        <w:rPr>
          <w:rStyle w:val="VerbatimChar"/>
        </w:rPr>
        <w:t xml:space="preserve">&gt;&gt; numpy.random.seed(seed=27)</w:t>
      </w:r>
    </w:p>
    <w:p>
      <w:pPr>
        <w:pStyle w:val="FirstParagraph"/>
      </w:pPr>
      <w:r>
        <w:br w:type="textWrapping"/>
      </w:r>
      <w:r>
        <w:t xml:space="preserve">Scatter the results with the different clusters as different colors. What do you notice?</w:t>
      </w:r>
      <w:r>
        <w:br w:type="textWrapping"/>
      </w:r>
      <w:r>
        <w:rPr>
          <w:b/>
        </w:rPr>
        <w:t xml:space="preserve">Question 4</w:t>
      </w:r>
      <w:r>
        <w:br w:type="textWrapping"/>
      </w:r>
      <w:r>
        <w:t xml:space="preserve">A common distance metric is the</w:t>
      </w:r>
      <w:r>
        <w:t xml:space="preserve"> </w:t>
      </w:r>
      <w:r>
        <w:rPr>
          <w:i/>
        </w:rPr>
        <w:t xml:space="preserve">Mahalanobis Distance</w:t>
      </w:r>
      <w:r>
        <w:t xml:space="preserve"> </w:t>
      </w:r>
      <w:r>
        <w:t xml:space="preserve">with a specialized covariance. Implement</w:t>
      </w:r>
      <w:r>
        <w:t xml:space="preserve"> </w:t>
      </w:r>
      <m:oMath>
        <m:r>
          <m:t>k</m:t>
        </m:r>
      </m:oMath>
      <w:r>
        <w:t xml:space="preserve">-means with a distance metric as defined as:</w:t>
      </w:r>
      <w:r>
        <w:br w:type="textWrapping"/>
      </w:r>
    </w:p>
    <w:p>
      <w:pPr>
        <w:pStyle w:val="BodyText"/>
      </w:pPr>
      <m:oMathPara>
        <m:oMathParaPr>
          <m:jc m:val="center"/>
        </m:oMathParaPr>
        <m:oMath>
          <m:r>
            <m:t>d</m:t>
          </m:r>
          <m:r>
            <m:t>(</m:t>
          </m:r>
          <m:r>
            <m:rPr>
              <m:nor/>
              <m:sty m:val="b"/>
            </m:rPr>
            <m:t>x</m:t>
          </m:r>
          <m:r>
            <m:t>,</m:t>
          </m:r>
          <m:r>
            <m:rPr>
              <m:nor/>
              <m:sty m:val="b"/>
            </m:rPr>
            <m:t>y</m:t>
          </m:r>
          <m:r>
            <m:t>)</m:t>
          </m:r>
          <m:r>
            <m:t>=</m:t>
          </m:r>
          <m:r>
            <m:t>(</m:t>
          </m:r>
          <m:r>
            <m:rPr>
              <m:nor/>
              <m:sty m:val="b"/>
            </m:rPr>
            <m:t>x</m:t>
          </m:r>
          <m:r>
            <m:t>−</m:t>
          </m:r>
          <m:r>
            <m:rPr>
              <m:nor/>
              <m:sty m:val="b"/>
            </m:rPr>
            <m:t>y</m:t>
          </m:r>
          <m:sSup>
            <m:e>
              <m:r>
                <m:t>)</m:t>
              </m:r>
            </m:e>
            <m:sup>
              <m:r>
                <m:t>T</m:t>
              </m:r>
            </m:sup>
          </m:sSup>
          <m:sSup>
            <m:e>
              <m:r>
                <m:t>P</m:t>
              </m:r>
            </m:e>
            <m:sup>
              <m:r>
                <m:t>−</m:t>
              </m:r>
              <m:r>
                <m:t>1</m:t>
              </m:r>
            </m:sup>
          </m:sSup>
          <m:r>
            <m:t>(</m:t>
          </m:r>
          <m:r>
            <m:rPr>
              <m:nor/>
              <m:sty m:val="b"/>
            </m:rPr>
            <m:t>x</m:t>
          </m:r>
          <m:r>
            <m:t>−</m:t>
          </m:r>
          <m:r>
            <m:rPr>
              <m:nor/>
              <m:sty m:val="b"/>
            </m:rPr>
            <m:t>y</m:t>
          </m:r>
          <m:r>
            <m:t>)</m:t>
          </m:r>
        </m:oMath>
      </m:oMathPara>
    </w:p>
    <w:p>
      <w:pPr>
        <w:pStyle w:val="FirstParagraph"/>
      </w:pPr>
      <w:r>
        <w:t xml:space="preserve">where</w:t>
      </w:r>
      <w:r>
        <w:t xml:space="preserve"> </w:t>
      </w:r>
      <w:r>
        <w:rPr>
          <w:b/>
        </w:rPr>
        <w:t xml:space="preserve">x</w:t>
      </w:r>
      <w:r>
        <w:t xml:space="preserve"> </w:t>
      </w:r>
      <w:r>
        <w:t xml:space="preserve">and</w:t>
      </w:r>
      <w:r>
        <w:t xml:space="preserve"> </w:t>
      </w:r>
      <w:r>
        <w:rPr>
          <w:b/>
        </w:rPr>
        <w:t xml:space="preserve">y</w:t>
      </w:r>
      <w:r>
        <w:t xml:space="preserve"> </w:t>
      </w:r>
      <w:r>
        <w:t xml:space="preserve">are two points, and</w:t>
      </w:r>
      <w:r>
        <w:t xml:space="preserve"> </w:t>
      </w:r>
      <m:oMath>
        <m:r>
          <m:t>d</m:t>
        </m:r>
        <m:r>
          <m:t>(</m:t>
        </m:r>
        <m:r>
          <m:rPr>
            <m:nor/>
            <m:sty m:val="b"/>
          </m:rPr>
          <m:t>x</m:t>
        </m:r>
        <m:r>
          <m:t>,</m:t>
        </m:r>
        <m:r>
          <m:rPr>
            <m:nor/>
            <m:sty m:val="b"/>
          </m:rPr>
          <m:t>y</m:t>
        </m:r>
        <m:r>
          <m:t>)</m:t>
        </m:r>
      </m:oMath>
      <w:r>
        <w:t xml:space="preserve"> </w:t>
      </w:r>
      <w:r>
        <w:t xml:space="preserve">is the distance between them.</w:t>
      </w:r>
      <w:r>
        <w:br w:type="textWrapping"/>
      </w:r>
    </w:p>
    <w:p>
      <w:pPr>
        <w:pStyle w:val="BodyText"/>
      </w:pPr>
      <m:oMathPara>
        <m:oMathParaPr>
          <m:jc m:val="center"/>
        </m:oMathParaPr>
        <m:oMath>
          <m:r>
            <m:t>P</m:t>
          </m:r>
          <m:r>
            <m:t>=</m:t>
          </m:r>
          <m:d>
            <m:dPr>
              <m:begChr m:val="("/>
              <m:endChr m:val=")"/>
              <m:grow/>
            </m:dPr>
            <m:e>
              <m:m>
                <m:mPr>
                  <m:baseJc m:val="center"/>
                  <m:plcHide m:val="1"/>
                  <m:mcs>
                    <m:mc>
                      <m:mcPr>
                        <m:mcJc m:val="center"/>
                        <m:count m:val="1"/>
                      </m:mcPr>
                    </m:mc>
                    <m:mc>
                      <m:mcPr>
                        <m:mcJc m:val="center"/>
                        <m:count m:val="1"/>
                      </m:mcPr>
                    </m:mc>
                  </m:mcs>
                </m:mPr>
                <m:mr>
                  <m:e>
                    <m:r>
                      <m:t>10</m:t>
                    </m:r>
                  </m:e>
                  <m:e>
                    <m:r>
                      <m:t>0.5</m:t>
                    </m:r>
                  </m:e>
                </m:mr>
                <m:mr>
                  <m:e>
                    <m:r>
                      <m:t>−</m:t>
                    </m:r>
                    <m:r>
                      <m:t>10</m:t>
                    </m:r>
                  </m:e>
                  <m:e>
                    <m:r>
                      <m:t>0.25</m:t>
                    </m:r>
                  </m:e>
                </m:mr>
              </m:m>
            </m:e>
          </m:d>
        </m:oMath>
      </m:oMathPara>
    </w:p>
    <w:p>
      <w:pPr>
        <w:pStyle w:val="FirstParagraph"/>
      </w:pPr>
      <w:r>
        <w:br w:type="textWrapping"/>
      </w:r>
      <w:r>
        <w:t xml:space="preserve">Implement a specialized</w:t>
      </w:r>
      <w:r>
        <w:t xml:space="preserve"> </w:t>
      </w:r>
      <m:oMath>
        <m:r>
          <m:t>k</m:t>
        </m:r>
      </m:oMath>
      <w:r>
        <w:t xml:space="preserve">-means with the above Mahalanobis Distance. Scatter the results with the different clusters as different colors. What do you notice? You may want to pre-compute</w:t>
      </w:r>
      <w:r>
        <w:t xml:space="preserve"> </w:t>
      </w:r>
      <m:oMath>
        <m:sSup>
          <m:e>
            <m:r>
              <m:t>P</m:t>
            </m:r>
          </m:e>
          <m:sup>
            <m:r>
              <m:t>−</m:t>
            </m:r>
            <m:r>
              <m:t>1</m:t>
            </m:r>
          </m:sup>
        </m:sSup>
      </m:oMath>
      <w:r>
        <w:t xml:space="preserve"> </w:t>
      </w:r>
      <w:r>
        <w:t xml:space="preserve">so that you aren’t calculating an inverse every single loop of the the</w:t>
      </w:r>
      <w:r>
        <w:t xml:space="preserve"> </w:t>
      </w:r>
      <m:oMath>
        <m:r>
          <m:t>k</m:t>
        </m:r>
      </m:oMath>
      <w:r>
        <w:t xml:space="preserve">-Means algorithm.</w:t>
      </w:r>
    </w:p>
    <w:p>
      <w:pPr>
        <w:pStyle w:val="Heading1"/>
      </w:pPr>
      <w:bookmarkStart w:id="29" w:name="submission-instructions"/>
      <w:r>
        <w:t xml:space="preserve">Submission Instructions</w:t>
      </w:r>
      <w:bookmarkEnd w:id="29"/>
    </w:p>
    <w:p>
      <w:pPr>
        <w:numPr>
          <w:numId w:val="1004"/>
          <w:ilvl w:val="0"/>
        </w:numPr>
      </w:pPr>
      <w:r>
        <w:t xml:space="preserve">Clearly mark your questions. Submit your</w:t>
      </w:r>
      <w:r>
        <w:t xml:space="preserve"> </w:t>
      </w:r>
      <w:r>
        <w:rPr>
          <w:b/>
        </w:rPr>
        <w:t xml:space="preserve">Colab URL</w:t>
      </w:r>
      <w:r>
        <w:t xml:space="preserve">, output files (</w:t>
      </w:r>
      <w:r>
        <w:rPr>
          <w:b/>
        </w:rPr>
        <w:t xml:space="preserve">publishers_no_titles.txt</w:t>
      </w:r>
      <w:r>
        <w:t xml:space="preserve"> </w:t>
      </w:r>
      <w:r>
        <w:t xml:space="preserve">and</w:t>
      </w:r>
      <w:r>
        <w:t xml:space="preserve"> </w:t>
      </w:r>
      <w:r>
        <w:rPr>
          <w:b/>
        </w:rPr>
        <w:t xml:space="preserve">titles_no_publishers.txt</w:t>
      </w:r>
      <w:r>
        <w:t xml:space="preserve">) and PDF write-up via from the invited</w:t>
      </w:r>
      <w:r>
        <w:t xml:space="preserve"> </w:t>
      </w:r>
      <w:hyperlink r:id="rId30">
        <w:r>
          <w:rPr>
            <w:rStyle w:val="Hyperlink"/>
          </w:rPr>
          <w:t xml:space="preserve">Github link</w:t>
        </w:r>
      </w:hyperlink>
      <w:r>
        <w:t xml:space="preserve">. Provide repository URL on</w:t>
      </w:r>
      <w:r>
        <w:t xml:space="preserve"> </w:t>
      </w:r>
      <w:hyperlink r:id="rId31">
        <w:r>
          <w:rPr>
            <w:rStyle w:val="Hyperlink"/>
          </w:rPr>
          <w:t xml:space="preserve">Gradescope</w:t>
        </w:r>
      </w:hyperlink>
      <w:r>
        <w:t xml:space="preserve"> </w:t>
      </w:r>
      <w:r>
        <w:t xml:space="preserve">before 5pm Wednesday, February 1, 2023.</w:t>
      </w:r>
    </w:p>
    <w:p>
      <w:pPr>
        <w:numPr>
          <w:numId w:val="1000"/>
          <w:ilvl w:val="0"/>
        </w:numPr>
      </w:pPr>
      <w:hyperlink r:id="rId32">
        <w:r>
          <w:rPr>
            <w:rStyle w:val="Hyperlink"/>
          </w:rPr>
          <w:t xml:space="preserve">this Google Forms</w:t>
        </w:r>
      </w:hyperlink>
      <w:r>
        <w:t xml:space="preserve"> </w:t>
      </w:r>
      <w:r>
        <w:t xml:space="preserve">before 5pm Wednesday, February 1, 2023. You will need to follow the instructions about permissions.</w:t>
      </w:r>
    </w:p>
    <w:p>
      <w:pPr>
        <w:numPr>
          <w:numId w:val="1004"/>
          <w:ilvl w:val="0"/>
        </w:numPr>
      </w:pPr>
      <w:r>
        <w:t xml:space="preserve">Colab has an extensive Markdown capability, so make sure you document your code while writing it. Code’s legibility is part of our grading criterion, so please make sure it’s readable.</w:t>
      </w:r>
    </w:p>
    <w:p>
      <w:pPr>
        <w:numPr>
          <w:numId w:val="1004"/>
          <w:ilvl w:val="0"/>
        </w:numPr>
      </w:pPr>
      <w:r>
        <w:t xml:space="preserve">Include a diagram of your pipeline description in your writeup.</w:t>
      </w:r>
    </w:p>
    <w:p>
      <w:pPr>
        <w:numPr>
          <w:numId w:val="1004"/>
          <w:ilvl w:val="0"/>
        </w:numPr>
      </w:pPr>
      <w:r>
        <w:t xml:space="preserve">Include in your writeup the recommendations for the users with following user IDs: 924, 8941, 8942, 9019, 9020, 9021, 9022, 9990, 9992, 9993.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30" Target="https://classroom.github.com/a/Kog9MCRN" TargetMode="External" /><Relationship Type="http://schemas.openxmlformats.org/officeDocument/2006/relationships/hyperlink" Id="rId21" Target="https://course.ccs.neu.edu/cs6220/homework-3/" TargetMode="External" /><Relationship Type="http://schemas.openxmlformats.org/officeDocument/2006/relationships/hyperlink" Id="rId28" Target="https://course.ccs.neu.edu/cs6220/homework-3/data/" TargetMode="External" /><Relationship Type="http://schemas.openxmlformats.org/officeDocument/2006/relationships/hyperlink" Id="rId32" Target="https://docs.google.com/forms/d/e/1FAIpQLSfUfjMu0JPzuYqisZux2cvh1EfMH-D9MbkFFYjxp-yuRtLLvg/viewform" TargetMode="External" /><Relationship Type="http://schemas.openxmlformats.org/officeDocument/2006/relationships/hyperlink" Id="rId31" Target="https://www.gradescope.com/courses/494275" TargetMode="External" /></Relationships>
</file>

<file path=word/_rels/footnotes.xml.rels><?xml version="1.0" encoding="UTF-8"?>
<Relationships xmlns="http://schemas.openxmlformats.org/package/2006/relationships"><Relationship Type="http://schemas.openxmlformats.org/officeDocument/2006/relationships/hyperlink" Id="rId30" Target="https://classroom.github.com/a/Kog9MCRN" TargetMode="External" /><Relationship Type="http://schemas.openxmlformats.org/officeDocument/2006/relationships/hyperlink" Id="rId21" Target="https://course.ccs.neu.edu/cs6220/homework-3/" TargetMode="External" /><Relationship Type="http://schemas.openxmlformats.org/officeDocument/2006/relationships/hyperlink" Id="rId28" Target="https://course.ccs.neu.edu/cs6220/homework-3/data/" TargetMode="External" /><Relationship Type="http://schemas.openxmlformats.org/officeDocument/2006/relationships/hyperlink" Id="rId32" Target="https://docs.google.com/forms/d/e/1FAIpQLSfUfjMu0JPzuYqisZux2cvh1EfMH-D9MbkFFYjxp-yuRtLLvg/viewform" TargetMode="External" /><Relationship Type="http://schemas.openxmlformats.org/officeDocument/2006/relationships/hyperlink" Id="rId31" Target="https://www.gradescope.com/courses/4942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YOUR NAME YOUR GIT USERNAME YOUR E-MAIL; YOUR NAME YOUR GIT USERNAME YOUR E-MAIL</dc:creator>
  <cp:keywords/>
  <dcterms:created xsi:type="dcterms:W3CDTF">2023-01-27T06:18:22Z</dcterms:created>
  <dcterms:modified xsi:type="dcterms:W3CDTF">2023-01-27T06:18:22Z</dcterms:modified>
</cp:coreProperties>
</file>

<file path=docProps/custom.xml><?xml version="1.0" encoding="utf-8"?>
<Properties xmlns="http://schemas.openxmlformats.org/officeDocument/2006/custom-properties" xmlns:vt="http://schemas.openxmlformats.org/officeDocument/2006/docPropsVTypes"/>
</file>