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>
        <w:t xml:space="preserve">№ ВП-21/25 от «03» июля 2025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>
              <w:t xml:space="preserve">                                                                                          __________________Е.В. Говорушкина                «03» июля 2025 г..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>
        <w:t>Заказчик: ООО Ромашка. 889974, г. КРасноярск, ул. дурная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6FCC406" w:rsidR="004D6111" w:rsidRPr="009D60F4" w:rsidRDefault="00B758FC" w:rsidP="009D60F4">
      <w:pPr>
        <w:spacing w:line="300" w:lineRule="auto"/>
        <w:jc w:val="both"/>
        <w:rPr>
          <w:i/>
          <w:u w:val="single"/>
        </w:rPr>
      </w:pPr>
      <w:r>
        <w:t xml:space="preserve">Объект: «Жилой дом №2». Наружные стены Панель толщиной 350. Оконные блоки из ПВХ переплетов с двухкамерным стеклопакетом. Вентиляция естественная.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4E901CE3" w:rsidR="005D3538" w:rsidRDefault="00B758FC" w:rsidP="004C4823">
      <w:pPr>
        <w:spacing w:line="300" w:lineRule="auto"/>
        <w:jc w:val="both"/>
        <w:rPr>
          <w:lang w:bidi="he-IL"/>
        </w:rPr>
      </w:pPr>
      <w:r>
        <w:t>Нормативные требования: Сопротивление воздухопроницанию ограждающих конструкций здания согласно нормативным требованиям СП 50.13330.2012, Rinfdes должно быть не менее нормируемого Rinfreg, м2.ч.Па/кг. При закрытых приточно-вытяжных вентиляционных отверстиях средняя воздухопроницаемость ограждения должна обеспечивать кратность воздухообмена n50 не более 4 ч-1 в период испытаний при разности давления между наружным и внутренним воздухом Δрm =50 Па.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="00454FE8">
        <w:t>/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>/</w:t>
      </w:r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6F1F5496" w:rsidR="00B758FC" w:rsidRDefault="00B758FC" w:rsidP="00A37281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>
        <w:t>Кратность воздухообмена помещений через ограждающие конструкции объекта: «Жилой дом №2», при перепаде давления наружного и внутреннего воздуха 50 Па составляет от [] ч-,1 до [] ч-1 (среднее значение [] ч-1), что соответствует классу «нормальная».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5C84C" w14:textId="77777777" w:rsidR="008F4768" w:rsidRDefault="008F4768" w:rsidP="003F0F38">
      <w:r>
        <w:separator/>
      </w:r>
    </w:p>
  </w:endnote>
  <w:endnote w:type="continuationSeparator" w:id="0">
    <w:p w14:paraId="421FE751" w14:textId="77777777" w:rsidR="008F4768" w:rsidRDefault="008F4768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91791" w14:textId="77777777" w:rsidR="008F4768" w:rsidRDefault="008F4768" w:rsidP="003F0F38">
      <w:r>
        <w:separator/>
      </w:r>
    </w:p>
  </w:footnote>
  <w:footnote w:type="continuationSeparator" w:id="0">
    <w:p w14:paraId="003E9603" w14:textId="77777777" w:rsidR="008F4768" w:rsidRDefault="008F4768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1088"/>
    <w:rsid w:val="00252414"/>
    <w:rsid w:val="00252FEA"/>
    <w:rsid w:val="00254767"/>
    <w:rsid w:val="00255186"/>
    <w:rsid w:val="0025730B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4E3A"/>
    <w:rsid w:val="0086539B"/>
    <w:rsid w:val="0087295D"/>
    <w:rsid w:val="00873957"/>
    <w:rsid w:val="00873FD8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2025-07-02T07:26:00Z</dcterms:modified>
  <cp:revision>240</cp:revision>
  <dc:title>Правительство Красноярского края</dc:title>
</cp:coreProperties>
</file>