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Sözlü İletişim Engelleri Drama Performansı Dereceli Puanlama Anahtarı</w:t>
      </w:r>
    </w:p>
    <w:p>
      <w:r>
        <w:rPr>
          <w:b/>
        </w:rPr>
        <w:t xml:space="preserve">Kullanım amacı. </w:t>
      </w:r>
      <w:r>
        <w:t>Bu anahtar, 11. sınıf Türk Dili ve Edebiyatı ders kitabının Bir Diyeceğim Var! temasında, basılı 53–58. sayfalardaki “İletişim Engelleri” performans görevini değerlendirmek için hazırlanmıştır. Kitap, sözlü iletişim engellerini konu alan bir konuşma metninin sınıfta canlandırılmasını ve konu seçimi, içeriğin uygunluğu, özgünlük, dil ve üslup, plan oluşturma, canlandırma becerisi gibi örnek ölçütleri belirtir.</w:t>
      </w:r>
    </w:p>
    <w:p>
      <w:r>
        <w:rPr>
          <w:b/>
        </w:rPr>
        <w:t xml:space="preserve">Kaynak niteliği. </w:t>
      </w:r>
      <w:r>
        <w:t>Bu belge, kitapta belirtilen görev ve örnek ölçütlerden hareketle bu sunum için hazırlanmış öğretmen aracıdır; Millî Eğitim Bakanlığının veya ders kitabının resmî dereceli puanlama anahtarı değildir. Aşağıdaki ağırlıklar ve düzey açıklamaları bu kullanım için yazılmıştır.</w:t>
      </w:r>
    </w:p>
    <w:p>
      <w:r>
        <w:rPr>
          <w:b/>
        </w:rPr>
        <w:t xml:space="preserve">Öğrencinin adı soyadı: </w:t>
      </w:r>
      <w:r>
        <w:t xml:space="preserve">___________________________________   </w:t>
      </w:r>
      <w:r>
        <w:rPr>
          <w:b/>
        </w:rPr>
        <w:t xml:space="preserve">Numarası: </w:t>
      </w:r>
      <w:r>
        <w:t xml:space="preserve">____________   </w:t>
      </w:r>
      <w:r>
        <w:rPr>
          <w:b/>
        </w:rPr>
        <w:t xml:space="preserve">Sınıfı: </w:t>
      </w:r>
      <w:r>
        <w:t>____________</w:t>
      </w:r>
    </w:p>
    <w:p>
      <w:r>
        <w:rPr>
          <w:b/>
        </w:rPr>
        <w:t xml:space="preserve">Puanlama. </w:t>
      </w:r>
      <w:r>
        <w:t>Her ölçüt için canlandırma ve hazırlıkta görülen kanıta uyan tek bir puan seçiniz. Seçtiğiniz puan, ilgili düzeyin aralığında olmalıdır. Ölçütlerin puanlarını toplayınız; toplam 6–100 puan arasındadır.</w:t>
      </w:r>
    </w:p>
    <w:tbl>
      <w:tblPr>
        <w:tblStyle w:val="TableGrid"/>
        <w:tblW w:type="auto" w:w="0"/>
        <w:jc w:val="center"/>
        <w:tblLayout w:type="fixed"/>
        <w:tblLook w:firstColumn="1" w:firstRow="1" w:lastColumn="0" w:lastRow="0" w:noHBand="0" w:noVBand="1" w:val="04A0"/>
      </w:tblPr>
      <w:tblGrid>
        <w:gridCol w:w="2568"/>
        <w:gridCol w:w="2568"/>
        <w:gridCol w:w="2568"/>
        <w:gridCol w:w="2568"/>
        <w:gridCol w:w="2568"/>
        <w:gridCol w:w="2568"/>
      </w:tblGrid>
      <w:tr>
        <w:tc>
          <w:tcPr>
            <w:tcW w:type="dxa" w:w="1872"/>
            <w:vAlign w:val="center"/>
            <w:shd w:fill="163B5C"/>
          </w:tcPr>
          <w:p>
            <w:pPr>
              <w:jc w:val="center"/>
            </w:pPr>
            <w:r>
              <w:rPr>
                <w:rFonts w:ascii="Aptos" w:hAnsi="Aptos"/>
                <w:b/>
                <w:color w:val="FFFFFF"/>
                <w:sz w:val="17"/>
              </w:rPr>
              <w:t>Ölçüt</w:t>
            </w:r>
          </w:p>
        </w:tc>
        <w:tc>
          <w:tcPr>
            <w:tcW w:type="dxa" w:w="2736"/>
            <w:vAlign w:val="center"/>
            <w:shd w:fill="163B5C"/>
          </w:tcPr>
          <w:p>
            <w:pPr>
              <w:jc w:val="center"/>
            </w:pPr>
            <w:r>
              <w:rPr>
                <w:rFonts w:ascii="Aptos" w:hAnsi="Aptos"/>
                <w:b/>
                <w:color w:val="FFFFFF"/>
                <w:sz w:val="17"/>
              </w:rPr>
              <w:t>Başlangıç düzeyinde</w:t>
            </w:r>
          </w:p>
        </w:tc>
        <w:tc>
          <w:tcPr>
            <w:tcW w:type="dxa" w:w="2736"/>
            <w:vAlign w:val="center"/>
            <w:shd w:fill="163B5C"/>
          </w:tcPr>
          <w:p>
            <w:pPr>
              <w:jc w:val="center"/>
            </w:pPr>
            <w:r>
              <w:rPr>
                <w:rFonts w:ascii="Aptos" w:hAnsi="Aptos"/>
                <w:b/>
                <w:color w:val="FFFFFF"/>
                <w:sz w:val="17"/>
              </w:rPr>
              <w:t>Kabul edilebilir</w:t>
            </w:r>
          </w:p>
        </w:tc>
        <w:tc>
          <w:tcPr>
            <w:tcW w:type="dxa" w:w="2736"/>
            <w:vAlign w:val="center"/>
            <w:shd w:fill="163B5C"/>
          </w:tcPr>
          <w:p>
            <w:pPr>
              <w:jc w:val="center"/>
            </w:pPr>
            <w:r>
              <w:rPr>
                <w:rFonts w:ascii="Aptos" w:hAnsi="Aptos"/>
                <w:b/>
                <w:color w:val="FFFFFF"/>
                <w:sz w:val="17"/>
              </w:rPr>
              <w:t>İyi</w:t>
            </w:r>
          </w:p>
        </w:tc>
        <w:tc>
          <w:tcPr>
            <w:tcW w:type="dxa" w:w="2736"/>
            <w:vAlign w:val="center"/>
            <w:shd w:fill="163B5C"/>
          </w:tcPr>
          <w:p>
            <w:pPr>
              <w:jc w:val="center"/>
            </w:pPr>
            <w:r>
              <w:rPr>
                <w:rFonts w:ascii="Aptos" w:hAnsi="Aptos"/>
                <w:b/>
                <w:color w:val="FFFFFF"/>
                <w:sz w:val="17"/>
              </w:rPr>
              <w:t>Çok iyi</w:t>
            </w:r>
          </w:p>
        </w:tc>
        <w:tc>
          <w:tcPr>
            <w:tcW w:type="dxa" w:w="893"/>
            <w:vAlign w:val="center"/>
            <w:shd w:fill="163B5C"/>
          </w:tcPr>
          <w:p>
            <w:pPr>
              <w:jc w:val="center"/>
            </w:pPr>
            <w:r>
              <w:rPr>
                <w:rFonts w:ascii="Aptos" w:hAnsi="Aptos"/>
                <w:b/>
                <w:color w:val="FFFFFF"/>
                <w:sz w:val="17"/>
              </w:rPr>
              <w:t>Puan</w:t>
            </w:r>
          </w:p>
        </w:tc>
      </w:tr>
      <w:tr>
        <w:trPr>
          <w:cantSplit/>
        </w:trPr>
        <w:tc>
          <w:tcPr>
            <w:tcW w:type="dxa" w:w="1872"/>
            <w:vAlign w:val="center"/>
            <w:shd w:fill="E8F0F7"/>
          </w:tcPr>
          <w:p>
            <w:pPr>
              <w:spacing w:after="20" w:line="240" w:lineRule="auto"/>
              <w:jc w:val="left"/>
            </w:pPr>
            <w:r>
              <w:rPr>
                <w:rFonts w:ascii="Aptos" w:hAnsi="Aptos"/>
                <w:b/>
                <w:color w:val="163B5C"/>
                <w:sz w:val="16"/>
              </w:rPr>
              <w:t>Konu seçimi</w:t>
              <w:br/>
              <w:t>(10 puan)</w:t>
            </w:r>
          </w:p>
        </w:tc>
        <w:tc>
          <w:tcPr>
            <w:tcW w:type="dxa" w:w="2736"/>
            <w:vAlign w:val="center"/>
          </w:tcPr>
          <w:p>
            <w:pPr>
              <w:spacing w:after="20" w:line="240" w:lineRule="auto"/>
              <w:jc w:val="left"/>
            </w:pPr>
            <w:r>
              <w:rPr>
                <w:rFonts w:ascii="Aptos" w:hAnsi="Aptos"/>
                <w:b/>
                <w:color w:val="26364A"/>
                <w:sz w:val="16"/>
              </w:rPr>
              <w:t>1–2 puan</w:t>
              <w:br/>
              <w:t>Seçilen konu ile sözlü iletişim engelleri ve görevin amacı arasında anlaşılır bir bağ kurulmamıştır.</w:t>
            </w:r>
          </w:p>
        </w:tc>
        <w:tc>
          <w:tcPr>
            <w:tcW w:type="dxa" w:w="2736"/>
            <w:vAlign w:val="center"/>
          </w:tcPr>
          <w:p>
            <w:pPr>
              <w:spacing w:after="20" w:line="240" w:lineRule="auto"/>
              <w:jc w:val="left"/>
            </w:pPr>
            <w:r>
              <w:rPr>
                <w:rFonts w:ascii="Aptos" w:hAnsi="Aptos"/>
                <w:b/>
                <w:color w:val="26364A"/>
                <w:sz w:val="16"/>
              </w:rPr>
              <w:t>3–5 puan</w:t>
              <w:br/>
              <w:t>Konu iletişim engelleriyle kısmen ilişkilidir; amaç ya da kapsam yeterince açık değildir.</w:t>
            </w:r>
          </w:p>
        </w:tc>
        <w:tc>
          <w:tcPr>
            <w:tcW w:type="dxa" w:w="2736"/>
            <w:vAlign w:val="center"/>
          </w:tcPr>
          <w:p>
            <w:pPr>
              <w:spacing w:after="20" w:line="240" w:lineRule="auto"/>
              <w:jc w:val="left"/>
            </w:pPr>
            <w:r>
              <w:rPr>
                <w:rFonts w:ascii="Aptos" w:hAnsi="Aptos"/>
                <w:b/>
                <w:color w:val="26364A"/>
                <w:sz w:val="16"/>
              </w:rPr>
              <w:t>6–8 puan</w:t>
              <w:br/>
              <w:t>Konu ve amaç uygundur; canlandırmanın hangi iletişim engelini ele aldığı anlaşılır.</w:t>
            </w:r>
          </w:p>
        </w:tc>
        <w:tc>
          <w:tcPr>
            <w:tcW w:type="dxa" w:w="2736"/>
            <w:vAlign w:val="center"/>
          </w:tcPr>
          <w:p>
            <w:pPr>
              <w:spacing w:after="20" w:line="240" w:lineRule="auto"/>
              <w:jc w:val="left"/>
            </w:pPr>
            <w:r>
              <w:rPr>
                <w:rFonts w:ascii="Aptos" w:hAnsi="Aptos"/>
                <w:b/>
                <w:color w:val="26364A"/>
                <w:sz w:val="16"/>
              </w:rPr>
              <w:t>9–10 puan</w:t>
              <w:br/>
              <w:t>Konu odaklı ve ilgi çekicidir; amaç, iletişim engelleri ve canlandırma biçimi güçlü biçimde örtüşür.</w:t>
            </w:r>
          </w:p>
        </w:tc>
        <w:tc>
          <w:tcPr>
            <w:tcW w:type="dxa" w:w="893"/>
            <w:vAlign w:val="center"/>
          </w:tcPr>
          <w:p>
            <w:pPr>
              <w:spacing w:after="20" w:line="240" w:lineRule="auto"/>
              <w:jc w:val="left"/>
            </w:pPr>
            <w:r>
              <w:rPr>
                <w:rFonts w:ascii="Aptos" w:hAnsi="Aptos"/>
                <w:b w:val="0"/>
                <w:color w:val="26364A"/>
                <w:sz w:val="16"/>
              </w:rPr>
              <w:t>_____</w:t>
            </w:r>
          </w:p>
        </w:tc>
      </w:tr>
      <w:tr>
        <w:trPr>
          <w:cantSplit/>
        </w:trPr>
        <w:tc>
          <w:tcPr>
            <w:tcW w:type="dxa" w:w="1872"/>
            <w:vAlign w:val="center"/>
            <w:shd w:fill="E8F0F7"/>
          </w:tcPr>
          <w:p>
            <w:pPr>
              <w:spacing w:after="20" w:line="240" w:lineRule="auto"/>
              <w:jc w:val="left"/>
            </w:pPr>
            <w:r>
              <w:rPr>
                <w:rFonts w:ascii="Aptos" w:hAnsi="Aptos"/>
                <w:b/>
                <w:color w:val="163B5C"/>
                <w:sz w:val="16"/>
              </w:rPr>
              <w:t>İçeriğin uygunluğu</w:t>
              <w:br/>
              <w:t>(20 puan)</w:t>
            </w:r>
          </w:p>
        </w:tc>
        <w:tc>
          <w:tcPr>
            <w:tcW w:type="dxa" w:w="2736"/>
            <w:vAlign w:val="center"/>
          </w:tcPr>
          <w:p>
            <w:pPr>
              <w:spacing w:after="20" w:line="240" w:lineRule="auto"/>
              <w:jc w:val="left"/>
            </w:pPr>
            <w:r>
              <w:rPr>
                <w:rFonts w:ascii="Aptos" w:hAnsi="Aptos"/>
                <w:b/>
                <w:color w:val="26364A"/>
                <w:sz w:val="16"/>
              </w:rPr>
              <w:t>1–5 puan</w:t>
              <w:br/>
              <w:t>İletişim engelleri belirgin değildir ya da yanlış yansıtılmıştır; olaylar görevin amacına hizmet etmez.</w:t>
            </w:r>
          </w:p>
        </w:tc>
        <w:tc>
          <w:tcPr>
            <w:tcW w:type="dxa" w:w="2736"/>
            <w:vAlign w:val="center"/>
          </w:tcPr>
          <w:p>
            <w:pPr>
              <w:spacing w:after="20" w:line="240" w:lineRule="auto"/>
              <w:jc w:val="left"/>
            </w:pPr>
            <w:r>
              <w:rPr>
                <w:rFonts w:ascii="Aptos" w:hAnsi="Aptos"/>
                <w:b/>
                <w:color w:val="26364A"/>
                <w:sz w:val="16"/>
              </w:rPr>
              <w:t>6–10 puan</w:t>
              <w:br/>
              <w:t>Bir iletişim engeli görülür; ancak durum, etkisi veya çözümle ilişkisi kısmen açıklığa kavuşur.</w:t>
            </w:r>
          </w:p>
        </w:tc>
        <w:tc>
          <w:tcPr>
            <w:tcW w:type="dxa" w:w="2736"/>
            <w:vAlign w:val="center"/>
          </w:tcPr>
          <w:p>
            <w:pPr>
              <w:spacing w:after="20" w:line="240" w:lineRule="auto"/>
              <w:jc w:val="left"/>
            </w:pPr>
            <w:r>
              <w:rPr>
                <w:rFonts w:ascii="Aptos" w:hAnsi="Aptos"/>
                <w:b/>
                <w:color w:val="26364A"/>
                <w:sz w:val="16"/>
              </w:rPr>
              <w:t>11–15 puan</w:t>
              <w:br/>
              <w:t>İletişim engelleri doğru ve anlaşılır biçimde gösterilir; canlandırmadaki durumlar konuya uygundur.</w:t>
            </w:r>
          </w:p>
        </w:tc>
        <w:tc>
          <w:tcPr>
            <w:tcW w:type="dxa" w:w="2736"/>
            <w:vAlign w:val="center"/>
          </w:tcPr>
          <w:p>
            <w:pPr>
              <w:spacing w:after="20" w:line="240" w:lineRule="auto"/>
              <w:jc w:val="left"/>
            </w:pPr>
            <w:r>
              <w:rPr>
                <w:rFonts w:ascii="Aptos" w:hAnsi="Aptos"/>
                <w:b/>
                <w:color w:val="26364A"/>
                <w:sz w:val="16"/>
              </w:rPr>
              <w:t>16–20 puan</w:t>
              <w:br/>
              <w:t>İletişim engelleri, kişiler arasındaki etkileri ve uygun çözüm yolları tutarlı, açık ve ikna edici biçimde işlenir.</w:t>
            </w:r>
          </w:p>
        </w:tc>
        <w:tc>
          <w:tcPr>
            <w:tcW w:type="dxa" w:w="893"/>
            <w:vAlign w:val="center"/>
          </w:tcPr>
          <w:p>
            <w:pPr>
              <w:spacing w:after="20" w:line="240" w:lineRule="auto"/>
              <w:jc w:val="left"/>
            </w:pPr>
            <w:r>
              <w:rPr>
                <w:rFonts w:ascii="Aptos" w:hAnsi="Aptos"/>
                <w:b w:val="0"/>
                <w:color w:val="26364A"/>
                <w:sz w:val="16"/>
              </w:rPr>
              <w:t>_____</w:t>
            </w:r>
          </w:p>
        </w:tc>
      </w:tr>
      <w:tr>
        <w:trPr>
          <w:cantSplit/>
        </w:trPr>
        <w:tc>
          <w:tcPr>
            <w:tcW w:type="dxa" w:w="1872"/>
            <w:vAlign w:val="center"/>
            <w:shd w:fill="E8F0F7"/>
          </w:tcPr>
          <w:p>
            <w:pPr>
              <w:spacing w:after="20" w:line="240" w:lineRule="auto"/>
              <w:jc w:val="left"/>
            </w:pPr>
            <w:r>
              <w:rPr>
                <w:rFonts w:ascii="Aptos" w:hAnsi="Aptos"/>
                <w:b/>
                <w:color w:val="163B5C"/>
                <w:sz w:val="16"/>
              </w:rPr>
              <w:t>Özgünlük</w:t>
              <w:br/>
              <w:t>(15 puan)</w:t>
            </w:r>
          </w:p>
        </w:tc>
        <w:tc>
          <w:tcPr>
            <w:tcW w:type="dxa" w:w="2736"/>
            <w:vAlign w:val="center"/>
          </w:tcPr>
          <w:p>
            <w:pPr>
              <w:spacing w:after="20" w:line="240" w:lineRule="auto"/>
              <w:jc w:val="left"/>
            </w:pPr>
            <w:r>
              <w:rPr>
                <w:rFonts w:ascii="Aptos" w:hAnsi="Aptos"/>
                <w:b/>
                <w:color w:val="26364A"/>
                <w:sz w:val="16"/>
              </w:rPr>
              <w:t>1–3 puan</w:t>
              <w:br/>
              <w:t>Metin ve canlandırmada gruba ait yorum ya da özgün bir katkı görülmez.</w:t>
            </w:r>
          </w:p>
        </w:tc>
        <w:tc>
          <w:tcPr>
            <w:tcW w:type="dxa" w:w="2736"/>
            <w:vAlign w:val="center"/>
          </w:tcPr>
          <w:p>
            <w:pPr>
              <w:spacing w:after="20" w:line="240" w:lineRule="auto"/>
              <w:jc w:val="left"/>
            </w:pPr>
            <w:r>
              <w:rPr>
                <w:rFonts w:ascii="Aptos" w:hAnsi="Aptos"/>
                <w:b/>
                <w:color w:val="26364A"/>
                <w:sz w:val="16"/>
              </w:rPr>
              <w:t>4–7 puan</w:t>
              <w:br/>
              <w:t>Bazı özgün seçimler vardır; ancak bunlar sınırlı kalır veya canlandırmaya yeterince yansımaz.</w:t>
            </w:r>
          </w:p>
        </w:tc>
        <w:tc>
          <w:tcPr>
            <w:tcW w:type="dxa" w:w="2736"/>
            <w:vAlign w:val="center"/>
          </w:tcPr>
          <w:p>
            <w:pPr>
              <w:spacing w:after="20" w:line="240" w:lineRule="auto"/>
              <w:jc w:val="left"/>
            </w:pPr>
            <w:r>
              <w:rPr>
                <w:rFonts w:ascii="Aptos" w:hAnsi="Aptos"/>
                <w:b/>
                <w:color w:val="26364A"/>
                <w:sz w:val="16"/>
              </w:rPr>
              <w:t>8–11 puan</w:t>
              <w:br/>
              <w:t>Grup, iletişim engellerini anlatırken konuya uygun özgün örnekler ve yorumlar kullanır.</w:t>
            </w:r>
          </w:p>
        </w:tc>
        <w:tc>
          <w:tcPr>
            <w:tcW w:type="dxa" w:w="2736"/>
            <w:vAlign w:val="center"/>
          </w:tcPr>
          <w:p>
            <w:pPr>
              <w:spacing w:after="20" w:line="240" w:lineRule="auto"/>
              <w:jc w:val="left"/>
            </w:pPr>
            <w:r>
              <w:rPr>
                <w:rFonts w:ascii="Aptos" w:hAnsi="Aptos"/>
                <w:b/>
                <w:color w:val="26364A"/>
                <w:sz w:val="16"/>
              </w:rPr>
              <w:t>12–15 puan</w:t>
              <w:br/>
              <w:t>Özgün örnek ve yorumlar belirgindir; seçilen anlatım biçimi canlandırmayı akılda kalıcı kılar.</w:t>
            </w:r>
          </w:p>
        </w:tc>
        <w:tc>
          <w:tcPr>
            <w:tcW w:type="dxa" w:w="893"/>
            <w:vAlign w:val="center"/>
          </w:tcPr>
          <w:p>
            <w:pPr>
              <w:spacing w:after="20" w:line="240" w:lineRule="auto"/>
              <w:jc w:val="left"/>
            </w:pPr>
            <w:r>
              <w:rPr>
                <w:rFonts w:ascii="Aptos" w:hAnsi="Aptos"/>
                <w:b w:val="0"/>
                <w:color w:val="26364A"/>
                <w:sz w:val="16"/>
              </w:rPr>
              <w:t>_____</w:t>
            </w:r>
          </w:p>
        </w:tc>
      </w:tr>
      <w:tr>
        <w:trPr>
          <w:cantSplit/>
        </w:trPr>
        <w:tc>
          <w:tcPr>
            <w:tcW w:type="dxa" w:w="1872"/>
            <w:vAlign w:val="center"/>
            <w:shd w:fill="E8F0F7"/>
          </w:tcPr>
          <w:p>
            <w:pPr>
              <w:spacing w:after="20" w:line="240" w:lineRule="auto"/>
              <w:jc w:val="left"/>
            </w:pPr>
            <w:r>
              <w:rPr>
                <w:rFonts w:ascii="Aptos" w:hAnsi="Aptos"/>
                <w:b/>
                <w:color w:val="163B5C"/>
                <w:sz w:val="16"/>
              </w:rPr>
              <w:t>Dil ve üslup</w:t>
              <w:br/>
              <w:t>(20 puan)</w:t>
            </w:r>
          </w:p>
        </w:tc>
        <w:tc>
          <w:tcPr>
            <w:tcW w:type="dxa" w:w="2736"/>
            <w:vAlign w:val="center"/>
          </w:tcPr>
          <w:p>
            <w:pPr>
              <w:spacing w:after="20" w:line="240" w:lineRule="auto"/>
              <w:jc w:val="left"/>
            </w:pPr>
            <w:r>
              <w:rPr>
                <w:rFonts w:ascii="Aptos" w:hAnsi="Aptos"/>
                <w:b/>
                <w:color w:val="26364A"/>
                <w:sz w:val="16"/>
              </w:rPr>
              <w:t>1–5 puan</w:t>
              <w:br/>
              <w:t>Söz varlığı, anlatım ve konuşma düzeni iletiyi anlamayı güçleştirir; hedef kitleye uygunluk gözetilmez.</w:t>
            </w:r>
          </w:p>
        </w:tc>
        <w:tc>
          <w:tcPr>
            <w:tcW w:type="dxa" w:w="2736"/>
            <w:vAlign w:val="center"/>
          </w:tcPr>
          <w:p>
            <w:pPr>
              <w:spacing w:after="20" w:line="240" w:lineRule="auto"/>
              <w:jc w:val="left"/>
            </w:pPr>
            <w:r>
              <w:rPr>
                <w:rFonts w:ascii="Aptos" w:hAnsi="Aptos"/>
                <w:b/>
                <w:color w:val="26364A"/>
                <w:sz w:val="16"/>
              </w:rPr>
              <w:t>6–10 puan</w:t>
              <w:br/>
              <w:t>İleti genel olarak anlaşılır; ancak dil, üslup veya konuşma akışında belirgin tutarsızlıklar vardır.</w:t>
            </w:r>
          </w:p>
        </w:tc>
        <w:tc>
          <w:tcPr>
            <w:tcW w:type="dxa" w:w="2736"/>
            <w:vAlign w:val="center"/>
          </w:tcPr>
          <w:p>
            <w:pPr>
              <w:spacing w:after="20" w:line="240" w:lineRule="auto"/>
              <w:jc w:val="left"/>
            </w:pPr>
            <w:r>
              <w:rPr>
                <w:rFonts w:ascii="Aptos" w:hAnsi="Aptos"/>
                <w:b/>
                <w:color w:val="26364A"/>
                <w:sz w:val="16"/>
              </w:rPr>
              <w:t>11–15 puan</w:t>
              <w:br/>
              <w:t>Dil ve üslup amaca ve dinleyiciye uygundur; konuşma açık ve tutarlı ilerler.</w:t>
            </w:r>
          </w:p>
        </w:tc>
        <w:tc>
          <w:tcPr>
            <w:tcW w:type="dxa" w:w="2736"/>
            <w:vAlign w:val="center"/>
          </w:tcPr>
          <w:p>
            <w:pPr>
              <w:spacing w:after="20" w:line="240" w:lineRule="auto"/>
              <w:jc w:val="left"/>
            </w:pPr>
            <w:r>
              <w:rPr>
                <w:rFonts w:ascii="Aptos" w:hAnsi="Aptos"/>
                <w:b/>
                <w:color w:val="26364A"/>
                <w:sz w:val="16"/>
              </w:rPr>
              <w:t>16–20 puan</w:t>
              <w:br/>
              <w:t>Dil ve üslup etkili ve amaca uygundur; sözcük seçimi ve konuşma akışı dinleyicinin ilgisini destekler.</w:t>
            </w:r>
          </w:p>
        </w:tc>
        <w:tc>
          <w:tcPr>
            <w:tcW w:type="dxa" w:w="893"/>
            <w:vAlign w:val="center"/>
          </w:tcPr>
          <w:p>
            <w:pPr>
              <w:spacing w:after="20" w:line="240" w:lineRule="auto"/>
              <w:jc w:val="left"/>
            </w:pPr>
            <w:r>
              <w:rPr>
                <w:rFonts w:ascii="Aptos" w:hAnsi="Aptos"/>
                <w:b w:val="0"/>
                <w:color w:val="26364A"/>
                <w:sz w:val="16"/>
              </w:rPr>
              <w:t>_____</w:t>
            </w:r>
          </w:p>
        </w:tc>
      </w:tr>
      <w:tr>
        <w:trPr>
          <w:cantSplit/>
        </w:trPr>
        <w:tc>
          <w:tcPr>
            <w:tcW w:type="dxa" w:w="1872"/>
            <w:vAlign w:val="center"/>
            <w:shd w:fill="E8F0F7"/>
          </w:tcPr>
          <w:p>
            <w:pPr>
              <w:spacing w:after="20" w:line="240" w:lineRule="auto"/>
              <w:jc w:val="left"/>
            </w:pPr>
            <w:r>
              <w:rPr>
                <w:rFonts w:ascii="Aptos" w:hAnsi="Aptos"/>
                <w:b/>
                <w:color w:val="163B5C"/>
                <w:sz w:val="16"/>
              </w:rPr>
              <w:t>Plan oluşturma</w:t>
              <w:br/>
              <w:t>(15 puan)</w:t>
            </w:r>
          </w:p>
        </w:tc>
        <w:tc>
          <w:tcPr>
            <w:tcW w:type="dxa" w:w="2736"/>
            <w:vAlign w:val="center"/>
          </w:tcPr>
          <w:p>
            <w:pPr>
              <w:spacing w:after="20" w:line="240" w:lineRule="auto"/>
              <w:jc w:val="left"/>
            </w:pPr>
            <w:r>
              <w:rPr>
                <w:rFonts w:ascii="Aptos" w:hAnsi="Aptos"/>
                <w:b/>
                <w:color w:val="26364A"/>
                <w:sz w:val="16"/>
              </w:rPr>
              <w:t>1–3 puan</w:t>
              <w:br/>
              <w:t>Konu, amaç, hedef kitle, süre veya canlandırma yöntemi için kullanılabilir bir plan oluşturulmamıştır.</w:t>
            </w:r>
          </w:p>
        </w:tc>
        <w:tc>
          <w:tcPr>
            <w:tcW w:type="dxa" w:w="2736"/>
            <w:vAlign w:val="center"/>
          </w:tcPr>
          <w:p>
            <w:pPr>
              <w:spacing w:after="20" w:line="240" w:lineRule="auto"/>
              <w:jc w:val="left"/>
            </w:pPr>
            <w:r>
              <w:rPr>
                <w:rFonts w:ascii="Aptos" w:hAnsi="Aptos"/>
                <w:b/>
                <w:color w:val="26364A"/>
                <w:sz w:val="16"/>
              </w:rPr>
              <w:t>4–7 puan</w:t>
              <w:br/>
              <w:t>Planın bazı temel kararları vardır; ancak hedef kitle, süre, yöntem ya da araçlarla ilgili önemli boşluklar kalır.</w:t>
            </w:r>
          </w:p>
        </w:tc>
        <w:tc>
          <w:tcPr>
            <w:tcW w:type="dxa" w:w="2736"/>
            <w:vAlign w:val="center"/>
          </w:tcPr>
          <w:p>
            <w:pPr>
              <w:spacing w:after="20" w:line="240" w:lineRule="auto"/>
              <w:jc w:val="left"/>
            </w:pPr>
            <w:r>
              <w:rPr>
                <w:rFonts w:ascii="Aptos" w:hAnsi="Aptos"/>
                <w:b/>
                <w:color w:val="26364A"/>
                <w:sz w:val="16"/>
              </w:rPr>
              <w:t>8–11 puan</w:t>
              <w:br/>
              <w:t>Konu ve amaçla uyumlu plan; hedef kitleyi, süreyi, yöntemi ve gerekli araçları yeterli biçimde belirler.</w:t>
            </w:r>
          </w:p>
        </w:tc>
        <w:tc>
          <w:tcPr>
            <w:tcW w:type="dxa" w:w="2736"/>
            <w:vAlign w:val="center"/>
          </w:tcPr>
          <w:p>
            <w:pPr>
              <w:spacing w:after="20" w:line="240" w:lineRule="auto"/>
              <w:jc w:val="left"/>
            </w:pPr>
            <w:r>
              <w:rPr>
                <w:rFonts w:ascii="Aptos" w:hAnsi="Aptos"/>
                <w:b/>
                <w:color w:val="26364A"/>
                <w:sz w:val="16"/>
              </w:rPr>
              <w:t>12–15 puan</w:t>
              <w:br/>
              <w:t>Planın kararları birbiriyle uyumludur; mekân, teknik koşullar ve olası engeller önceden gözetilmiştir.</w:t>
            </w:r>
          </w:p>
        </w:tc>
        <w:tc>
          <w:tcPr>
            <w:tcW w:type="dxa" w:w="893"/>
            <w:vAlign w:val="center"/>
          </w:tcPr>
          <w:p>
            <w:pPr>
              <w:spacing w:after="20" w:line="240" w:lineRule="auto"/>
              <w:jc w:val="left"/>
            </w:pPr>
            <w:r>
              <w:rPr>
                <w:rFonts w:ascii="Aptos" w:hAnsi="Aptos"/>
                <w:b w:val="0"/>
                <w:color w:val="26364A"/>
                <w:sz w:val="16"/>
              </w:rPr>
              <w:t>_____</w:t>
            </w:r>
          </w:p>
        </w:tc>
      </w:tr>
      <w:tr>
        <w:trPr>
          <w:cantSplit/>
        </w:trPr>
        <w:tc>
          <w:tcPr>
            <w:tcW w:type="dxa" w:w="1872"/>
            <w:vAlign w:val="center"/>
            <w:shd w:fill="E8F0F7"/>
          </w:tcPr>
          <w:p>
            <w:pPr>
              <w:spacing w:after="20" w:line="240" w:lineRule="auto"/>
              <w:jc w:val="left"/>
            </w:pPr>
            <w:r>
              <w:rPr>
                <w:rFonts w:ascii="Aptos" w:hAnsi="Aptos"/>
                <w:b/>
                <w:color w:val="163B5C"/>
                <w:sz w:val="16"/>
              </w:rPr>
              <w:t>Canlandırma becerisi</w:t>
              <w:br/>
              <w:t>(20 puan)</w:t>
            </w:r>
          </w:p>
        </w:tc>
        <w:tc>
          <w:tcPr>
            <w:tcW w:type="dxa" w:w="2736"/>
            <w:vAlign w:val="center"/>
          </w:tcPr>
          <w:p>
            <w:pPr>
              <w:spacing w:after="20" w:line="240" w:lineRule="auto"/>
              <w:jc w:val="left"/>
            </w:pPr>
            <w:r>
              <w:rPr>
                <w:rFonts w:ascii="Aptos" w:hAnsi="Aptos"/>
                <w:b/>
                <w:color w:val="26364A"/>
                <w:sz w:val="16"/>
              </w:rPr>
              <w:t>1–5 puan</w:t>
              <w:br/>
              <w:t>Canlandırmanın akışı izlenemez; söz, ses veya beden dili iletiyi aktarmaya yetmez.</w:t>
            </w:r>
          </w:p>
        </w:tc>
        <w:tc>
          <w:tcPr>
            <w:tcW w:type="dxa" w:w="2736"/>
            <w:vAlign w:val="center"/>
          </w:tcPr>
          <w:p>
            <w:pPr>
              <w:spacing w:after="20" w:line="240" w:lineRule="auto"/>
              <w:jc w:val="left"/>
            </w:pPr>
            <w:r>
              <w:rPr>
                <w:rFonts w:ascii="Aptos" w:hAnsi="Aptos"/>
                <w:b/>
                <w:color w:val="26364A"/>
                <w:sz w:val="16"/>
              </w:rPr>
              <w:t>6–10 puan</w:t>
              <w:br/>
              <w:t>Canlandırmanın ana fikri izlenir; ancak akış, sözlü anlatım, beden dili veya grup uyumunda aksaklıklar görülür.</w:t>
            </w:r>
          </w:p>
        </w:tc>
        <w:tc>
          <w:tcPr>
            <w:tcW w:type="dxa" w:w="2736"/>
            <w:vAlign w:val="center"/>
          </w:tcPr>
          <w:p>
            <w:pPr>
              <w:spacing w:after="20" w:line="240" w:lineRule="auto"/>
              <w:jc w:val="left"/>
            </w:pPr>
            <w:r>
              <w:rPr>
                <w:rFonts w:ascii="Aptos" w:hAnsi="Aptos"/>
                <w:b/>
                <w:color w:val="26364A"/>
                <w:sz w:val="16"/>
              </w:rPr>
              <w:t>11–15 puan</w:t>
              <w:br/>
              <w:t>Canlandırma anlaşılır ve tutarlıdır; konuşma, beden dili ve grup çalışması görevi destekler.</w:t>
            </w:r>
          </w:p>
        </w:tc>
        <w:tc>
          <w:tcPr>
            <w:tcW w:type="dxa" w:w="2736"/>
            <w:vAlign w:val="center"/>
          </w:tcPr>
          <w:p>
            <w:pPr>
              <w:spacing w:after="20" w:line="240" w:lineRule="auto"/>
              <w:jc w:val="left"/>
            </w:pPr>
            <w:r>
              <w:rPr>
                <w:rFonts w:ascii="Aptos" w:hAnsi="Aptos"/>
                <w:b/>
                <w:color w:val="26364A"/>
                <w:sz w:val="16"/>
              </w:rPr>
              <w:t>16–20 puan</w:t>
              <w:br/>
              <w:t>Canlandırma akıcı ve etkileyicidir; söz, ses, beden dili, grup uyumu ve zaman kullanımı iletiyi güçlü biçimde taşır.</w:t>
            </w:r>
          </w:p>
        </w:tc>
        <w:tc>
          <w:tcPr>
            <w:tcW w:type="dxa" w:w="893"/>
            <w:vAlign w:val="center"/>
          </w:tcPr>
          <w:p>
            <w:pPr>
              <w:spacing w:after="20" w:line="240" w:lineRule="auto"/>
              <w:jc w:val="left"/>
            </w:pPr>
            <w:r>
              <w:rPr>
                <w:rFonts w:ascii="Aptos" w:hAnsi="Aptos"/>
                <w:b w:val="0"/>
                <w:color w:val="26364A"/>
                <w:sz w:val="16"/>
              </w:rPr>
              <w:t>_____</w:t>
            </w:r>
          </w:p>
        </w:tc>
      </w:tr>
      <w:tr>
        <w:tc>
          <w:tcPr>
            <w:tcW w:type="dxa" w:w="12840"/>
            <w:gridSpan w:val="5"/>
            <w:shd w:fill="D9E8F2"/>
            <w:shd w:fill="D9E8F2"/>
            <w:shd w:fill="D9E8F2"/>
            <w:shd w:fill="D9E8F2"/>
            <w:shd w:fill="D9E8F2"/>
          </w:tcPr>
          <w:p>
            <w:pPr>
              <w:jc w:val="right"/>
            </w:pPr>
            <w:r>
              <w:rPr>
                <w:b/>
                <w:sz w:val="20"/>
              </w:rPr>
              <w:t>TOPLAM PUAN</w:t>
            </w:r>
          </w:p>
        </w:tc>
        <w:tc>
          <w:tcPr>
            <w:tcW w:type="dxa" w:w="2568"/>
            <w:shd w:fill="D9E8F2"/>
          </w:tcPr>
          <w:p>
            <w:pPr>
              <w:jc w:val="center"/>
            </w:pPr>
            <w:r>
              <w:rPr>
                <w:b/>
              </w:rPr>
              <w:t>____ / 100</w:t>
            </w:r>
          </w:p>
        </w:tc>
      </w:tr>
    </w:tbl>
    <w:sectPr w:rsidR="00FC693F" w:rsidRPr="0006063C" w:rsidSect="00034616">
      <w:pgSz w:w="16848" w:h="11952" w:orient="landscape"/>
      <w:pgMar w:top="792" w:right="720" w:bottom="79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Aptos" w:hAnsi="Aptos"/>
      <w:color w:val="26364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63B5C"/>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w:hAnsi="Aptos"/>
      <w:color w:val="163B5C"/>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Sözlü İletişim Engelleri Drama Performansı Dereceli Puanlama Anahtarı</dc:title>
  <dc:subject>11. sınıf Türk Dili ve Edebiyatı Bir Diyeceğim Var! performans görevi için öğretmen değerlendirme aracı</dc:subject>
  <dc:creator>Öğretmen Rehberi sunum ekibi</dc:creator>
  <cp:keywords/>
  <dc:description>generated by python-docx</dc:description>
  <cp:lastModifiedBy/>
  <cp:revision>1</cp:revision>
  <dcterms:created xsi:type="dcterms:W3CDTF">2013-12-23T23:15:00Z</dcterms:created>
  <dcterms:modified xsi:type="dcterms:W3CDTF">2013-12-23T23:15:00Z</dcterms:modified>
  <cp:category/>
</cp:coreProperties>
</file>