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  <w:t>主要任务</w:t>
      </w:r>
    </w:p>
    <w:p>
      <w:pPr>
        <w:ind w:firstLine="560" w:firstLineChars="200"/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8"/>
          <w:szCs w:val="28"/>
          <w:shd w:val="clear" w:fill="FFFFFF"/>
        </w:rPr>
        <w:t>结合第三周WBS分解进行，以功能点或用例点为基础（必选其一），可结合多种其他估算手段进行工作量估算。同时验证WBS分解结果，如估算出现问题，可考虑是否进一步进行任务分解，并更新完善课程项目的WBS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270500" cy="2313940"/>
            <wp:effectExtent l="0" t="0" r="2540" b="2540"/>
            <wp:docPr id="2" name="图片 2" descr="20220402200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204022002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  <w:t>任务分配</w:t>
      </w:r>
    </w:p>
    <w:p>
      <w:p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  <w:t>以功能点为基础对WBS的分解结果进行工作量估计，验证分解结果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  <w:t>基本信息统计：张国荣、李东阳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  <w:t>物资分配：金琦淋、林思桂</w:t>
      </w:r>
      <w:bookmarkStart w:id="0" w:name="_GoBack"/>
      <w:bookmarkEnd w:id="0"/>
    </w:p>
    <w:p>
      <w:pPr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  <w:t>库存管理：刘健东、刘祥洁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  <w:t>应急物资管理：赵阳、康超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  <w:t>物资查询：刘莹、秦玉杰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181E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FC5C1D"/>
    <w:rsid w:val="7B272C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168</Characters>
  <Lines>0</Lines>
  <Paragraphs>0</Paragraphs>
  <TotalTime>885</TotalTime>
  <ScaleCrop>false</ScaleCrop>
  <LinksUpToDate>false</LinksUpToDate>
  <CharactersWithSpaces>168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2022-04-03T02:46:44Z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00940FA795344C888155AE7876E5581C</vt:lpwstr>
  </property>
</Properties>
</file>