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Calibri" w:hAnsi="Calibri"/>
          <w:b/>
          <w:color w:val="1B365D"/>
          <w:sz w:val="34"/>
        </w:rPr>
        <w:t>The Self-Auditing Ledger: Leakage-Free Temporal Graph Topology for ERP Fraud Detection, with a Production Audit Console</w:t>
      </w:r>
    </w:p>
    <w:p>
      <w:pPr>
        <w:spacing w:after="40"/>
        <w:jc w:val="center"/>
      </w:pPr>
      <w:r>
        <w:rPr>
          <w:rFonts w:ascii="Calibri" w:hAnsi="Calibri"/>
          <w:b/>
          <w:color w:val="2D3748"/>
          <w:sz w:val="22"/>
        </w:rPr>
        <w:t>Aarin Bhatta, Himanshu Ray, and Mohammed Akif</w:t>
      </w:r>
    </w:p>
    <w:p>
      <w:pPr>
        <w:spacing w:after="240"/>
        <w:jc w:val="center"/>
      </w:pPr>
      <w:r>
        <w:rPr>
          <w:rFonts w:ascii="Calibri" w:hAnsi="Calibri"/>
          <w:i/>
          <w:color w:val="718096"/>
          <w:sz w:val="19"/>
        </w:rPr>
        <w:t>School of Computer Science and Engineering, Vellore Institute of Technology, Vellore, India</w:t>
        <w:br/>
        <w:t>Technical Report &amp; Empirical Manuscript — Academic Year 2026</w:t>
      </w:r>
    </w:p>
    <w:p>
      <w:pPr>
        <w:spacing w:before="80" w:after="80" w:line="276" w:lineRule="auto"/>
        <w:jc w:val="both"/>
      </w:pPr>
      <w:r>
        <w:rPr>
          <w:rFonts w:ascii="Calibri" w:hAnsi="Calibri"/>
          <w:b/>
          <w:color w:val="1B365D"/>
          <w:sz w:val="20"/>
        </w:rPr>
        <w:t>Abstract—</w:t>
      </w:r>
      <w:r>
        <w:rPr>
          <w:rFonts w:ascii="Calibri" w:hAnsi="Calibri"/>
          <w:color w:val="2D3748"/>
          <w:sz w:val="19"/>
        </w:rPr>
        <w:t>Graph-based fraud detection methods are frequently proposed without an explicit audit of temporal leakage, and rarely evaluated with a controlled, same-architecture ablation that isolates the marginal value of graph structure from the tabular signal it is layered on top of. This paper presents a leakage-free streaming temporal-topology feature engine—enforcing a formal read-then-insert invariant so that a transaction's features can never depend on information from its own future—and subjects it to a rigorous within-dataset ablation across three heterogeneous financial datasets (Dataset 1: BankSim bipartite payment simulator, Dataset 2: IBM AML multi-hop transfer network, and Dataset 3: SAP Würzburg real general-ledger export). The central finding is conditional, not universal: graph topology adds substantial, leakage-free predictive value on BankSim (+11.7% relative PR-AUC) and synthetic ERP (+213%), is uninformative on IBM AML whose tabular baseline is already saturated (PR-AUC ≈ 0.992), and actively degrades SAP Würzburg (-54.6%). We report this honestly, including the finding that hand-crafted cycle-detection features carry near-zero gain importance on all three datasets, that a learned temporal graph network (TGN) does not beat hand-crafted topology on real data, and that naive synthetic-data augmentation measurably harms real-dataset performance. Furthermore, to address cross-institutional banking privacy barriers (GDPR/GLBA), we introduce a Privacy-Preserving Federated Learning architecture with empirical validation reliability weighting (FedProx), recovering 98.91% of the centralized upper bound's performance without sharing raw customer transactions. Finally, we describe and empirically verify a production Procure-to-Pay ERP with a forensic audit console that serves this leakage-free feature computation live against real transactions with sub-2.5ms latency, backed by database-enforced financial-integrity invariants.</w:t>
      </w:r>
    </w:p>
    <w:p>
      <w:pPr>
        <w:spacing w:before="40" w:after="280"/>
      </w:pPr>
      <w:r>
        <w:rPr>
          <w:rFonts w:ascii="Calibri" w:hAnsi="Calibri"/>
          <w:b/>
          <w:color w:val="1B365D"/>
          <w:sz w:val="19"/>
        </w:rPr>
        <w:t>Keywords—</w:t>
      </w:r>
      <w:r>
        <w:rPr>
          <w:rFonts w:ascii="Calibri" w:hAnsi="Calibri"/>
          <w:i/>
          <w:color w:val="2D3748"/>
          <w:sz w:val="19"/>
        </w:rPr>
        <w:t>fraud detection, temporal graphs, data leakage, anti-money laundering, explainable AI, continuous auditing, ERP systems, XGBoost, federated learning, synthetic data.</w:t>
      </w:r>
    </w:p>
    <w:p>
      <w:pPr>
        <w:sectPr>
          <w:headerReference w:type="default" r:id="rId9"/>
          <w:footerReference w:type="default" r:id="rId10"/>
          <w:pgSz w:w="12240" w:h="15840"/>
          <w:pgMar w:top="1080" w:right="1080" w:bottom="1080" w:left="1080" w:header="576" w:footer="576" w:gutter="0"/>
          <w:cols w:space="720"/>
          <w:docGrid w:linePitch="360"/>
        </w:sectPr>
      </w:pPr>
    </w:p>
    <w:p>
      <w:pPr>
        <w:keepNext/>
        <w:spacing w:before="240" w:after="60"/>
      </w:pPr>
      <w:r>
        <w:rPr>
          <w:rFonts w:ascii="Calibri" w:hAnsi="Calibri"/>
          <w:b/>
          <w:color w:val="1B365D"/>
          <w:sz w:val="23"/>
        </w:rPr>
        <w:t>1. Introduction and Related Work</w:t>
      </w:r>
    </w:p>
    <w:p>
      <w:pPr>
        <w:spacing w:after="80" w:line="276" w:lineRule="auto"/>
        <w:jc w:val="both"/>
      </w:pPr>
      <w:r>
        <w:rPr>
          <w:rFonts w:ascii="Calibri" w:hAnsi="Calibri"/>
          <w:i w:val="0"/>
          <w:color w:val="2D3748"/>
          <w:sz w:val="19"/>
        </w:rPr>
        <w:t>Financial statement fraud, procurement deception, and money laundering impose global economic losses exceeding hundreds of billions of dollars annually. Modern enterprise resource planning (ERP) architectures record millions of double-entry ledger postings daily. Yet, automated auditing controls continue to rely predominantly on static heuristic threshold rules (e.g., flagging transfers strictly above $10,000) or shallow row-level tabular classifiers. These approaches analyze transactions in isolation, remaining fundamentally blind to coordinated structural fraud typologies—such as multi-hop layering chains, smurfing distributions, and accounts-receivable lapping schemes (where misappropriated funds are concealed by systematically misapplying subsequent customer remittances).</w:t>
      </w:r>
    </w:p>
    <w:p>
      <w:pPr>
        <w:spacing w:after="80" w:line="276" w:lineRule="auto"/>
        <w:jc w:val="both"/>
      </w:pPr>
      <w:r>
        <w:rPr>
          <w:rFonts w:ascii="Calibri" w:hAnsi="Calibri"/>
          <w:i w:val="0"/>
          <w:color w:val="2D3748"/>
          <w:sz w:val="19"/>
        </w:rPr>
        <w:t>Graph Neural Networks (GNNs) and temporal graph representation learning have emerged as the primary research paradigm for relational financial fraud detection. However, our systematic analysis of published literature reveals three pervasive methodological crises:</w:t>
      </w:r>
    </w:p>
    <w:p>
      <w:pPr>
        <w:pStyle w:val="ListBullet"/>
        <w:spacing w:after="60" w:line="276" w:lineRule="auto"/>
        <w:jc w:val="both"/>
      </w:pPr>
      <w:r>
        <w:rPr>
          <w:rFonts w:ascii="Calibri" w:hAnsi="Calibri"/>
          <w:b/>
          <w:color w:val="2D3748"/>
          <w:sz w:val="19"/>
        </w:rPr>
        <w:t xml:space="preserve">1. Pervasive Temporal Leakage: </w:t>
      </w:r>
      <w:r>
        <w:rPr>
          <w:rFonts w:ascii="Calibri" w:hAnsi="Calibri"/>
          <w:color w:val="2D3748"/>
          <w:sz w:val="19"/>
        </w:rPr>
        <w:t>Standard academic graph benchmarks routinely construct static graph representations over an entire dataset span prior to feature extraction. Consequently, topological indicators (e.g., node degrees, PageRank, k-hop neighborhood embeddings) computed for historical transactions incorporate edges from their own future. When models trained on these contaminated graphs are deployed in production streaming pipelines, their laboratory performance collapses catastrophically.</w:t>
      </w:r>
    </w:p>
    <w:p>
      <w:pPr>
        <w:pStyle w:val="ListBullet"/>
        <w:spacing w:after="60" w:line="276" w:lineRule="auto"/>
        <w:jc w:val="both"/>
      </w:pPr>
      <w:r>
        <w:rPr>
          <w:rFonts w:ascii="Calibri" w:hAnsi="Calibri"/>
          <w:b/>
          <w:color w:val="2D3748"/>
          <w:sz w:val="19"/>
        </w:rPr>
        <w:t xml:space="preserve">2. Absent Ablation Discipline: </w:t>
      </w:r>
      <w:r>
        <w:rPr>
          <w:rFonts w:ascii="Calibri" w:hAnsi="Calibri"/>
          <w:color w:val="2D3748"/>
          <w:sz w:val="19"/>
        </w:rPr>
        <w:t>Papers proposing novel graph architectures routinely compare against weak tabular baselines lacking domain-standard feature engineering, failing to control for whether performance gains stem from genuine topological structure or simply from raw monetary amount distributions.</w:t>
      </w:r>
    </w:p>
    <w:p>
      <w:pPr>
        <w:pStyle w:val="ListBullet"/>
        <w:spacing w:after="60" w:line="276" w:lineRule="auto"/>
        <w:jc w:val="both"/>
      </w:pPr>
      <w:r>
        <w:rPr>
          <w:rFonts w:ascii="Calibri" w:hAnsi="Calibri"/>
          <w:b/>
          <w:color w:val="2D3748"/>
          <w:sz w:val="19"/>
        </w:rPr>
        <w:t xml:space="preserve">3. Uninterpretable Black-Box Deployments: </w:t>
      </w:r>
      <w:r>
        <w:rPr>
          <w:rFonts w:ascii="Calibri" w:hAnsi="Calibri"/>
          <w:color w:val="2D3748"/>
          <w:sz w:val="19"/>
        </w:rPr>
        <w:t>Deep graph architectures lack exact, polynomial-time attribution methods. Under strict statutory regulations (Sarbanes-Oxley Act, Basel III, GDPR Article 22), forensic auditors cannot legally act upon black-box risk scores without verifiable, reconstructable evidence trails.</w:t>
      </w:r>
    </w:p>
    <w:p>
      <w:pPr>
        <w:spacing w:after="80" w:line="276" w:lineRule="auto"/>
        <w:jc w:val="both"/>
      </w:pPr>
      <w:r>
        <w:rPr>
          <w:rFonts w:ascii="Calibri" w:hAnsi="Calibri"/>
          <w:i w:val="0"/>
          <w:color w:val="2D3748"/>
          <w:sz w:val="19"/>
        </w:rPr>
        <w:t>To resolve these challenges, this paper presents the Self-Auditing Ledger: a comprehensive framework combining a streaming, leakage-free temporal topology engine, exact tree-native explainability, privacy-preserving federated score consensus, and an enterprise-grade continuous auditing console.</w:t>
      </w:r>
    </w:p>
    <w:p>
      <w:pPr>
        <w:keepNext/>
        <w:spacing w:before="240" w:after="60"/>
      </w:pPr>
      <w:r>
        <w:rPr>
          <w:rFonts w:ascii="Calibri" w:hAnsi="Calibri"/>
          <w:b/>
          <w:color w:val="1B365D"/>
          <w:sz w:val="23"/>
        </w:rPr>
        <w:t>2. System and Research Foundations</w:t>
      </w:r>
    </w:p>
    <w:p>
      <w:pPr>
        <w:spacing w:after="80" w:line="276" w:lineRule="auto"/>
        <w:jc w:val="both"/>
      </w:pPr>
      <w:r>
        <w:rPr>
          <w:rFonts w:ascii="Calibri" w:hAnsi="Calibri"/>
          <w:i w:val="0"/>
          <w:color w:val="2D3748"/>
          <w:sz w:val="19"/>
        </w:rPr>
        <w:t>The foundational claim of this work is that graph features must be isolated and evaluated with strict ablation discipline. The compute path is decoupled from the visualization path: high-speed streaming graph traversal is executed via an incremental in-memory sliding-window multigraph in pure Python/NumPy, while Neo4j is dedicated strictly as the visual audit and explanation layer. We enforce two immutable design rules: (1) One imbalance mechanism, not two—avoiding the non-physical manifold distortion of SMOTE on discrete topological indicators in favor of custom focal loss; and (2) Threshold freezing—tuning decision thresholds strictly on validation splits and freezing them for test evaluation.</w:t>
      </w:r>
    </w:p>
    <w:p>
      <w:pPr>
        <w:keepNext/>
        <w:spacing w:before="240" w:after="60"/>
      </w:pPr>
      <w:r>
        <w:rPr>
          <w:rFonts w:ascii="Calibri" w:hAnsi="Calibri"/>
          <w:b/>
          <w:color w:val="1B365D"/>
          <w:sz w:val="23"/>
        </w:rPr>
        <w:t>3. Proposed Model</w:t>
      </w:r>
    </w:p>
    <w:p>
      <w:pPr>
        <w:keepNext/>
        <w:spacing w:before="120" w:after="40"/>
        <w:jc w:val="center"/>
      </w:pPr>
      <w:r>
        <w:drawing>
          <wp:inline xmlns:a="http://schemas.openxmlformats.org/drawingml/2006/main" xmlns:pic="http://schemas.openxmlformats.org/drawingml/2006/picture">
            <wp:extent cx="2971800" cy="933994"/>
            <wp:docPr id="1" name="Picture 1"/>
            <wp:cNvGraphicFramePr>
              <a:graphicFrameLocks noChangeAspect="1"/>
            </wp:cNvGraphicFramePr>
            <a:graphic>
              <a:graphicData uri="http://schemas.openxmlformats.org/drawingml/2006/picture">
                <pic:pic>
                  <pic:nvPicPr>
                    <pic:cNvPr id="0" name="pipeline_overview.png"/>
                    <pic:cNvPicPr/>
                  </pic:nvPicPr>
                  <pic:blipFill>
                    <a:blip r:embed="rId11"/>
                    <a:stretch>
                      <a:fillRect/>
                    </a:stretch>
                  </pic:blipFill>
                  <pic:spPr>
                    <a:xfrm>
                      <a:off x="0" y="0"/>
                      <a:ext cx="2971800" cy="933994"/>
                    </a:xfrm>
                    <a:prstGeom prst="rect"/>
                  </pic:spPr>
                </pic:pic>
              </a:graphicData>
            </a:graphic>
          </wp:inline>
        </w:drawing>
      </w:r>
    </w:p>
    <w:p>
      <w:pPr>
        <w:spacing w:before="40" w:after="160"/>
        <w:jc w:val="both"/>
      </w:pPr>
      <w:r>
        <w:rPr>
          <w:rFonts w:ascii="Calibri" w:hAnsi="Calibri"/>
          <w:i/>
          <w:color w:val="2D3748"/>
          <w:sz w:val="17"/>
        </w:rPr>
        <w:t>Fig. 1: End-to-end architectural pipeline of the Self-Auditing Ledger: from raw ERP/banking transaction ingestion and bipartite graph projection, through the streaming leakage-free temporal topology engine and continuous TGN embedding extraction, to imbalance-aware gradient-boosted tree scoring, TreeSHAP forensic alert packet synthesis, and privacy-preserving federated consensus.</w:t>
      </w:r>
    </w:p>
    <w:p>
      <w:pPr>
        <w:keepNext/>
        <w:spacing w:before="160" w:after="40"/>
      </w:pPr>
      <w:r>
        <w:rPr>
          <w:rFonts w:ascii="Calibri" w:hAnsi="Calibri"/>
          <w:b/>
          <w:color w:val="2B6CB0"/>
          <w:sz w:val="21"/>
        </w:rPr>
        <w:t>i. Architecture</w:t>
      </w:r>
    </w:p>
    <w:p>
      <w:pPr>
        <w:spacing w:after="80" w:line="276" w:lineRule="auto"/>
        <w:jc w:val="both"/>
      </w:pPr>
      <w:r>
        <w:rPr>
          <w:rFonts w:ascii="Calibri" w:hAnsi="Calibri"/>
          <w:i w:val="0"/>
          <w:color w:val="2D3748"/>
          <w:sz w:val="19"/>
        </w:rPr>
        <w:t>The proposed architecture bridges dynamic transactional multigraphs, continuous temporal graph neural networks, gradient-boosted decision trees, and regulatory forensic auditing (Fig. 1). The transaction stream is modeled as a directed temporal multigraph G = (V, E, T), where vertices V represent accounts, counterparties, or general-ledger entities, and edges e_i = (u_i, v_i, t_i, a_i) ∈ E represent timestamped monetary transfers of amount a_i &gt; 0 at integer epoch seconds t_i ∈ T.</w:t>
      </w:r>
    </w:p>
    <w:p>
      <w:pPr>
        <w:spacing w:after="80" w:line="276" w:lineRule="auto"/>
        <w:jc w:val="both"/>
      </w:pPr>
      <w:r>
        <w:rPr>
          <w:rFonts w:ascii="Calibri" w:hAnsi="Calibri"/>
          <w:i w:val="0"/>
          <w:color w:val="2D3748"/>
          <w:sz w:val="19"/>
        </w:rPr>
        <w:t>The architecture comprises six tightly coupled operational modules:</w:t>
      </w:r>
    </w:p>
    <w:p>
      <w:pPr>
        <w:pStyle w:val="ListBullet"/>
        <w:spacing w:after="60" w:line="276" w:lineRule="auto"/>
        <w:jc w:val="both"/>
      </w:pPr>
      <w:r>
        <w:rPr>
          <w:rFonts w:ascii="Calibri" w:hAnsi="Calibri"/>
          <w:b/>
          <w:color w:val="2D3748"/>
          <w:sz w:val="19"/>
        </w:rPr>
        <w:t xml:space="preserve">1. Chronological Ingestion &amp; Graph Projection: </w:t>
      </w:r>
      <w:r>
        <w:rPr>
          <w:rFonts w:ascii="Calibri" w:hAnsi="Calibri"/>
          <w:color w:val="2D3748"/>
          <w:sz w:val="19"/>
        </w:rPr>
        <w:t>Sequentially maps continuous transactions to dynamic graph edges under strict time sorting.</w:t>
      </w:r>
    </w:p>
    <w:p>
      <w:pPr>
        <w:pStyle w:val="ListBullet"/>
        <w:spacing w:after="60" w:line="276" w:lineRule="auto"/>
        <w:jc w:val="both"/>
      </w:pPr>
      <w:r>
        <w:rPr>
          <w:rFonts w:ascii="Calibri" w:hAnsi="Calibri"/>
          <w:b/>
          <w:color w:val="2D3748"/>
          <w:sz w:val="19"/>
        </w:rPr>
        <w:t xml:space="preserve">2. Streaming Leakage-Free Topology Engine: </w:t>
      </w:r>
      <w:r>
        <w:rPr>
          <w:rFonts w:ascii="Calibri" w:hAnsi="Calibri"/>
          <w:color w:val="2D3748"/>
          <w:sz w:val="19"/>
        </w:rPr>
        <w:t>Evaluates sliding-window structural metrics solely against historical graph state G_{&lt; t_i}.</w:t>
      </w:r>
    </w:p>
    <w:p>
      <w:pPr>
        <w:pStyle w:val="ListBullet"/>
        <w:spacing w:after="60" w:line="276" w:lineRule="auto"/>
        <w:jc w:val="both"/>
      </w:pPr>
      <w:r>
        <w:rPr>
          <w:rFonts w:ascii="Calibri" w:hAnsi="Calibri"/>
          <w:b/>
          <w:color w:val="2D3748"/>
          <w:sz w:val="19"/>
        </w:rPr>
        <w:t xml:space="preserve">3. Continuous Dynamic Graph Representation: </w:t>
      </w:r>
      <w:r>
        <w:rPr>
          <w:rFonts w:ascii="Calibri" w:hAnsi="Calibri"/>
          <w:color w:val="2D3748"/>
          <w:sz w:val="19"/>
        </w:rPr>
        <w:t>Maintains continuous-time node memory states via a Temporal Graph Network (TGN).</w:t>
      </w:r>
    </w:p>
    <w:p>
      <w:pPr>
        <w:pStyle w:val="ListBullet"/>
        <w:spacing w:after="60" w:line="276" w:lineRule="auto"/>
        <w:jc w:val="both"/>
      </w:pPr>
      <w:r>
        <w:rPr>
          <w:rFonts w:ascii="Calibri" w:hAnsi="Calibri"/>
          <w:b/>
          <w:color w:val="2D3748"/>
          <w:sz w:val="19"/>
        </w:rPr>
        <w:t xml:space="preserve">4. Imbalance-Calibrated Ensemble Classifier: </w:t>
      </w:r>
      <w:r>
        <w:rPr>
          <w:rFonts w:ascii="Calibri" w:hAnsi="Calibri"/>
          <w:color w:val="2D3748"/>
          <w:sz w:val="19"/>
        </w:rPr>
        <w:t>Scores transactions via an XGBoost gradient-boosted decision tree head optimized with an α-free focal loss.</w:t>
      </w:r>
    </w:p>
    <w:p>
      <w:pPr>
        <w:pStyle w:val="ListBullet"/>
        <w:spacing w:after="60" w:line="276" w:lineRule="auto"/>
        <w:jc w:val="both"/>
      </w:pPr>
      <w:r>
        <w:rPr>
          <w:rFonts w:ascii="Calibri" w:hAnsi="Calibri"/>
          <w:b/>
          <w:color w:val="2D3748"/>
          <w:sz w:val="19"/>
        </w:rPr>
        <w:t xml:space="preserve">5. Privacy-Preserving Federated Consensus: </w:t>
      </w:r>
      <w:r>
        <w:rPr>
          <w:rFonts w:ascii="Calibri" w:hAnsi="Calibri"/>
          <w:color w:val="2D3748"/>
          <w:sz w:val="19"/>
        </w:rPr>
        <w:t>Aggregates decentralized bank models via validation reliability weighting (FedProx).</w:t>
      </w:r>
    </w:p>
    <w:p>
      <w:pPr>
        <w:pStyle w:val="ListBullet"/>
        <w:spacing w:after="60" w:line="276" w:lineRule="auto"/>
        <w:jc w:val="both"/>
      </w:pPr>
      <w:r>
        <w:rPr>
          <w:rFonts w:ascii="Calibri" w:hAnsi="Calibri"/>
          <w:b/>
          <w:color w:val="2D3748"/>
          <w:sz w:val="19"/>
        </w:rPr>
        <w:t xml:space="preserve">6. Forensic Explainability &amp; Alert Synthesis: </w:t>
      </w:r>
      <w:r>
        <w:rPr>
          <w:rFonts w:ascii="Calibri" w:hAnsi="Calibri"/>
          <w:color w:val="2D3748"/>
          <w:sz w:val="19"/>
        </w:rPr>
        <w:t>Computes exact margin-space TreeSHAP feature attributions and extracts 2-hop causal subgraphs via Neo4j Cypher queries.</w:t>
      </w:r>
    </w:p>
    <w:p>
      <w:pPr>
        <w:keepNext/>
        <w:spacing w:before="160" w:after="40"/>
      </w:pPr>
      <w:r>
        <w:rPr>
          <w:rFonts w:ascii="Calibri" w:hAnsi="Calibri"/>
          <w:b/>
          <w:color w:val="2B6CB0"/>
          <w:sz w:val="21"/>
        </w:rPr>
        <w:t>ii. Preprocessing</w:t>
      </w:r>
    </w:p>
    <w:p>
      <w:pPr>
        <w:spacing w:after="80" w:line="276" w:lineRule="auto"/>
        <w:jc w:val="both"/>
      </w:pPr>
      <w:r>
        <w:rPr>
          <w:rFonts w:ascii="Calibri" w:hAnsi="Calibri"/>
          <w:i w:val="0"/>
          <w:color w:val="2D3748"/>
          <w:sz w:val="19"/>
        </w:rPr>
        <w:t>All financial transaction data is processed through a deterministic, strictly causal pipeline:</w:t>
      </w:r>
    </w:p>
    <w:p>
      <w:pPr>
        <w:pStyle w:val="ListBullet"/>
        <w:spacing w:after="60" w:line="276" w:lineRule="auto"/>
        <w:jc w:val="both"/>
      </w:pPr>
      <w:r>
        <w:rPr>
          <w:rFonts w:ascii="Calibri" w:hAnsi="Calibri"/>
          <w:b/>
          <w:color w:val="2D3748"/>
          <w:sz w:val="19"/>
        </w:rPr>
        <w:t xml:space="preserve">1. Type Normalization: </w:t>
      </w:r>
      <w:r>
        <w:rPr>
          <w:rFonts w:ascii="Calibri" w:hAnsi="Calibri"/>
          <w:color w:val="2D3748"/>
          <w:sz w:val="19"/>
        </w:rPr>
        <w:t>Timestamps are coerced to integer epoch seconds; monetary amounts a_i &gt; 0 are converted to double-precision floats; categorical metadata (payment channels, transaction types) are dictionary-encoded with reserved unseen-category indices.</w:t>
      </w:r>
    </w:p>
    <w:p>
      <w:pPr>
        <w:pStyle w:val="ListBullet"/>
        <w:spacing w:after="60" w:line="276" w:lineRule="auto"/>
        <w:jc w:val="both"/>
      </w:pPr>
      <w:r>
        <w:rPr>
          <w:rFonts w:ascii="Calibri" w:hAnsi="Calibri"/>
          <w:b/>
          <w:color w:val="2D3748"/>
          <w:sz w:val="19"/>
        </w:rPr>
        <w:t xml:space="preserve">2. Chronological Partitioning: </w:t>
      </w:r>
      <w:r>
        <w:rPr>
          <w:rFonts w:ascii="Calibri" w:hAnsi="Calibri"/>
          <w:color w:val="2D3748"/>
          <w:sz w:val="19"/>
        </w:rPr>
        <w:t>Transactions are sorted by the composite key (t_i, tx_id). The data is partitioned into strictly ordered chronological splits: 60% training (t &lt; T_1), 20% validation (T_1 ≤ t &lt; T_2), and 20% held-out test (t ≥ T_2). No shuffling, random cross-validation, or bidirectional temporal imputation is permitted.</w:t>
      </w:r>
    </w:p>
    <w:p>
      <w:pPr>
        <w:pStyle w:val="ListBullet"/>
        <w:spacing w:after="60" w:line="276" w:lineRule="auto"/>
        <w:jc w:val="both"/>
      </w:pPr>
      <w:r>
        <w:rPr>
          <w:rFonts w:ascii="Calibri" w:hAnsi="Calibri"/>
          <w:b/>
          <w:color w:val="2D3748"/>
          <w:sz w:val="19"/>
        </w:rPr>
        <w:t xml:space="preserve">3. Expanding Sequential Estimators: </w:t>
      </w:r>
      <w:r>
        <w:rPr>
          <w:rFonts w:ascii="Calibri" w:hAnsi="Calibri"/>
          <w:color w:val="2D3748"/>
          <w:sz w:val="19"/>
        </w:rPr>
        <w:t>All feature scaling factors and running z-scores are computed using Welford's algorithm over past observations only: μ_k = μ_{k-1} + (a_k - μ_{k-1})/k, M_{2,k} = M_{2,k-1} + (a_k - μ_{k-1})(a_k - μ_k), z_k = (a_k - μ_k) / sqrt(M_{2,k}/(k-1)). No whole-dataset normalization or future statistics ever contaminate historical feature rows.</w:t>
      </w:r>
    </w:p>
    <w:p>
      <w:pPr>
        <w:keepNext/>
        <w:spacing w:before="160" w:after="40"/>
      </w:pPr>
      <w:r>
        <w:rPr>
          <w:rFonts w:ascii="Calibri" w:hAnsi="Calibri"/>
          <w:b/>
          <w:color w:val="2B6CB0"/>
          <w:sz w:val="21"/>
        </w:rPr>
        <w:t>iii. Feature Analysis</w:t>
      </w:r>
    </w:p>
    <w:p>
      <w:pPr>
        <w:spacing w:after="80" w:line="276" w:lineRule="auto"/>
        <w:jc w:val="both"/>
      </w:pPr>
      <w:r>
        <w:rPr>
          <w:rFonts w:ascii="Calibri" w:hAnsi="Calibri"/>
          <w:i w:val="0"/>
          <w:color w:val="2D3748"/>
          <w:sz w:val="19"/>
        </w:rPr>
        <w:t>Each transaction e_i is mapped to a combined feature vector x_i = [x_ord, x_topo, z_tgn] across three distinct taxonomic families:</w:t>
      </w:r>
    </w:p>
    <w:p>
      <w:pPr>
        <w:pStyle w:val="ListBullet"/>
        <w:spacing w:after="60" w:line="276" w:lineRule="auto"/>
        <w:jc w:val="both"/>
      </w:pPr>
      <w:r>
        <w:rPr>
          <w:rFonts w:ascii="Calibri" w:hAnsi="Calibri"/>
          <w:b/>
          <w:color w:val="2D3748"/>
          <w:sz w:val="19"/>
        </w:rPr>
        <w:t xml:space="preserve">1. Ordinary Tabular Features (x_ord): </w:t>
      </w:r>
      <w:r>
        <w:rPr>
          <w:rFonts w:ascii="Calibri" w:hAnsi="Calibri"/>
          <w:color w:val="2D3748"/>
          <w:sz w:val="19"/>
        </w:rPr>
        <w:t>log_10(a_i + 1), running Welford amount z-scores, diurnal periodic encodings (sin(2π h_i / 24), cos(2π h_i / 24)), and inter-event arrival deltas Δt = t_i - t_prev(u_i).</w:t>
      </w:r>
    </w:p>
    <w:p>
      <w:pPr>
        <w:pStyle w:val="ListBullet"/>
        <w:spacing w:after="60" w:line="276" w:lineRule="auto"/>
        <w:jc w:val="both"/>
      </w:pPr>
      <w:r>
        <w:rPr>
          <w:rFonts w:ascii="Calibri" w:hAnsi="Calibri"/>
          <w:b/>
          <w:color w:val="2D3748"/>
          <w:sz w:val="19"/>
        </w:rPr>
        <w:t xml:space="preserve">2. Handcrafted Streaming Topology (x_topo): </w:t>
      </w:r>
      <w:r>
        <w:rPr>
          <w:rFonts w:ascii="Calibri" w:hAnsi="Calibri"/>
          <w:color w:val="2D3748"/>
          <w:sz w:val="19"/>
        </w:rPr>
        <w:t>Thirteen structural and behavioral features extracted dynamically by the streaming engine over trailing windows W ∈ {1d, 7d, 30d}: source out-degree, destination in-degree, fan-in ratio, fan-out ratio, counterparty reciprocity, burstiness velocity (deg_1d/deg_7d), amount recurrence count (LapMemory), and directed length-3 and length-4 cycle counts.</w:t>
      </w:r>
    </w:p>
    <w:p>
      <w:pPr>
        <w:pStyle w:val="ListBullet"/>
        <w:spacing w:after="60" w:line="276" w:lineRule="auto"/>
        <w:jc w:val="both"/>
      </w:pPr>
      <w:r>
        <w:rPr>
          <w:rFonts w:ascii="Calibri" w:hAnsi="Calibri"/>
          <w:b/>
          <w:color w:val="2D3748"/>
          <w:sz w:val="19"/>
        </w:rPr>
        <w:t xml:space="preserve">3. Continuous Dynamic Graph Embeddings (z_tgn): </w:t>
      </w:r>
      <w:r>
        <w:rPr>
          <w:rFonts w:ascii="Calibri" w:hAnsi="Calibri"/>
          <w:color w:val="2D3748"/>
          <w:sz w:val="19"/>
        </w:rPr>
        <w:t>16-dimensional continuous-time latent representations produced by a Temporal Graph Network (TGN), encoding sequential memory states and interaction dynamics between counterparties.</w:t>
      </w:r>
    </w:p>
    <w:p>
      <w:pPr>
        <w:spacing w:after="80" w:line="276" w:lineRule="auto"/>
        <w:jc w:val="both"/>
      </w:pPr>
      <w:r>
        <w:rPr>
          <w:rFonts w:ascii="Calibri" w:hAnsi="Calibri"/>
          <w:i w:val="0"/>
          <w:color w:val="2D3748"/>
          <w:sz w:val="19"/>
        </w:rPr>
        <w:t>The Read-Then-Insert Execution Invariant: To guarantee zero lookahead leakage, the engine enforces a strict structural invariant: (1) Read: Query WindowGraph for transaction i's fan-in, fan-out, destination in-degree, source out-degree, and (if src_i ≠ dst_i) run bounded cycle search; query LapMemory for amount recurrence against historical records. (2) Insert: Only after all reads return does the engine call WindowGraph.add(t, u, v, amount) and LapMemory.record(...) for transaction i itself. Because add for edge j is called only during iteration j, the graph state visible to iteration i's reads is, by induction, exactly {j : j &lt; i} minus aged-out edges—never a superset, and never containing information from an iteration that has not yet run.</w:t>
      </w:r>
    </w:p>
    <w:p>
      <w:pPr>
        <w:keepNext/>
        <w:spacing w:before="120" w:after="40"/>
        <w:jc w:val="center"/>
      </w:pPr>
      <w:r>
        <w:drawing>
          <wp:inline xmlns:a="http://schemas.openxmlformats.org/drawingml/2006/main" xmlns:pic="http://schemas.openxmlformats.org/drawingml/2006/picture">
            <wp:extent cx="2971800" cy="2701636"/>
            <wp:docPr id="2" name="Picture 2"/>
            <wp:cNvGraphicFramePr>
              <a:graphicFrameLocks noChangeAspect="1"/>
            </wp:cNvGraphicFramePr>
            <a:graphic>
              <a:graphicData uri="http://schemas.openxmlformats.org/drawingml/2006/picture">
                <pic:pic>
                  <pic:nvPicPr>
                    <pic:cNvPr id="0" name="topology_importance_heatmap.png"/>
                    <pic:cNvPicPr/>
                  </pic:nvPicPr>
                  <pic:blipFill>
                    <a:blip r:embed="rId12"/>
                    <a:stretch>
                      <a:fillRect/>
                    </a:stretch>
                  </pic:blipFill>
                  <pic:spPr>
                    <a:xfrm>
                      <a:off x="0" y="0"/>
                      <a:ext cx="2971800" cy="2701636"/>
                    </a:xfrm>
                    <a:prstGeom prst="rect"/>
                  </pic:spPr>
                </pic:pic>
              </a:graphicData>
            </a:graphic>
          </wp:inline>
        </w:drawing>
      </w:r>
    </w:p>
    <w:p>
      <w:pPr>
        <w:spacing w:before="40" w:after="160"/>
        <w:jc w:val="both"/>
      </w:pPr>
      <w:r>
        <w:rPr>
          <w:rFonts w:ascii="Calibri" w:hAnsi="Calibri"/>
          <w:i/>
          <w:color w:val="2D3748"/>
          <w:sz w:val="17"/>
        </w:rPr>
        <w:t>Fig. 2: Gain importance heatmap of the thirteen streaming topology features across benchmark datasets. Degree and fan metrics dominate in BankSim and SAP Würzburg, while amount-derived lapping dominates in IBM AML; cycle motifs carry near-zero importance across all three real-world datasets.</w:t>
      </w:r>
    </w:p>
    <w:p>
      <w:pPr>
        <w:keepNext/>
        <w:spacing w:before="160" w:after="40"/>
      </w:pPr>
      <w:r>
        <w:rPr>
          <w:rFonts w:ascii="Calibri" w:hAnsi="Calibri"/>
          <w:b/>
          <w:color w:val="2B6CB0"/>
          <w:sz w:val="21"/>
        </w:rPr>
        <w:t>iv. Classification</w:t>
      </w:r>
    </w:p>
    <w:p>
      <w:pPr>
        <w:spacing w:after="80" w:line="276" w:lineRule="auto"/>
        <w:jc w:val="both"/>
      </w:pPr>
      <w:r>
        <w:rPr>
          <w:rFonts w:ascii="Calibri" w:hAnsi="Calibri"/>
          <w:i w:val="0"/>
          <w:color w:val="2D3748"/>
          <w:sz w:val="19"/>
        </w:rPr>
        <w:t>The finalized production champion model is formulated as: f*(e_i) = XGBoost([x_ord, x_topo, z_tgn]; L_obj, Θ*), where L_obj is an unweighted, symmetric α-free focal loss: L_focal(p_t) = -(1 - p_t)^γ log(p_t), with focusing parameter γ = 1.0 for BankSim, γ = 2.0 for SAP Würzburg, and train-derived scale-position weighting scale_pos_weight = N_neg / N_pos for IBM AML.</w:t>
      </w:r>
    </w:p>
    <w:p>
      <w:pPr>
        <w:spacing w:after="80" w:line="276" w:lineRule="auto"/>
        <w:jc w:val="both"/>
      </w:pPr>
      <w:r>
        <w:rPr>
          <w:rFonts w:ascii="Calibri" w:hAnsi="Calibri"/>
          <w:i w:val="0"/>
          <w:color w:val="2D3748"/>
          <w:sz w:val="19"/>
        </w:rPr>
        <w:t>The closed-form gradient with respect to predicted log-odds margin m (where p = σ(m)) is: ∂L/∂m = γ p (1 - p)^γ log(p) - (1 - p)^{γ+1} if y=1, and -[γ (1 - p) p^γ log(1 - p) - p^{γ+1}] if y=0. The hessian is evaluated via a central finite difference with step ε_h = 10^-4. The decision threshold τ_bar is tuned strictly on the validation split: τ_bar = argmax_τ F_1(D_val, τ), and frozen for test evaluation. Test metrics are never evaluated at an uncalibrated default 0.5 threshold.</w:t>
      </w:r>
    </w:p>
    <w:p>
      <w:pPr>
        <w:keepNext/>
        <w:spacing w:before="160" w:after="40"/>
      </w:pPr>
      <w:r>
        <w:rPr>
          <w:rFonts w:ascii="Calibri" w:hAnsi="Calibri"/>
          <w:b/>
          <w:color w:val="2B6CB0"/>
          <w:sz w:val="21"/>
        </w:rPr>
        <w:t>v. Federated</w:t>
      </w:r>
    </w:p>
    <w:p>
      <w:pPr>
        <w:spacing w:after="80" w:line="276" w:lineRule="auto"/>
        <w:jc w:val="both"/>
      </w:pPr>
      <w:r>
        <w:rPr>
          <w:rFonts w:ascii="Calibri" w:hAnsi="Calibri"/>
          <w:i w:val="0"/>
          <w:color w:val="2D3748"/>
          <w:sz w:val="19"/>
        </w:rPr>
        <w:t>To overcome cross-institutional banking secrecy barriers (GDPR, GLBA), we deploy a Score-Level Ensemble Consensus architecture across K=4 heterogeneous institutional clients partitioned via k-means clustering on transaction volume. Rather than naive uniform averaging (FedAvg), which allows fraud-starved institutions to dilute the consensus, our server implements empirical validation reliability weighting (FedProx):</w:t>
      </w:r>
    </w:p>
    <w:p>
      <w:pPr>
        <w:spacing w:after="80" w:line="276" w:lineRule="auto"/>
        <w:jc w:val="both"/>
      </w:pPr>
      <w:r>
        <w:rPr>
          <w:rFonts w:ascii="Calibri" w:hAnsi="Calibri"/>
          <w:i/>
          <w:color w:val="2D3748"/>
          <w:sz w:val="19"/>
        </w:rPr>
        <w:t>w_k = (PR-AUC_{val, k})^β / ∑_{j=1}^K (PR-AUC_{val, j})^β,       p_hat_{consensus}(e_i) = ∑_{k=1}^K w_k · f_k(e_i)</w:t>
      </w:r>
    </w:p>
    <w:p>
      <w:pPr>
        <w:spacing w:after="80" w:line="276" w:lineRule="auto"/>
        <w:jc w:val="both"/>
      </w:pPr>
      <w:r>
        <w:rPr>
          <w:rFonts w:ascii="Calibri" w:hAnsi="Calibri"/>
          <w:i w:val="0"/>
          <w:color w:val="2D3748"/>
          <w:sz w:val="19"/>
        </w:rPr>
        <w:t>where β ≥ 1.0 is the reliability concentration power. Each client trains autonomously on its private transaction partition, early-stops on local validation data, and communicates only prediction scores and validation confidence metrics to the central aggregator.</w:t>
      </w:r>
    </w:p>
    <w:p>
      <w:pPr>
        <w:keepNext/>
        <w:spacing w:before="160" w:after="40"/>
      </w:pPr>
      <w:r>
        <w:rPr>
          <w:rFonts w:ascii="Calibri" w:hAnsi="Calibri"/>
          <w:b/>
          <w:color w:val="2B6CB0"/>
          <w:sz w:val="21"/>
        </w:rPr>
        <w:t>vi. Explainable</w:t>
      </w:r>
    </w:p>
    <w:p>
      <w:pPr>
        <w:spacing w:after="80" w:line="276" w:lineRule="auto"/>
        <w:jc w:val="both"/>
      </w:pPr>
      <w:r>
        <w:rPr>
          <w:rFonts w:ascii="Calibri" w:hAnsi="Calibri"/>
          <w:i w:val="0"/>
          <w:color w:val="2D3748"/>
          <w:sz w:val="19"/>
        </w:rPr>
        <w:t>Regulatory compliance (Sarbanes-Oxley Act, Basel III) requires verifiable evidence trails. Every reported feature attribution is computed via XGBoost's native pred_contribs interface: ∑_{j=1}^M φ_j(x_i) + φ_0 = f_margin(x_i) ≡ log(p_i / (1 - p_i)). This executes the exact TreeSHAP recursion as a pure traversal of the fitted tree ensemble, returning signed attributions additive in log-odds space. It is exact (not sampled) and valid under focal gradients.</w:t>
      </w:r>
    </w:p>
    <w:p>
      <w:pPr>
        <w:spacing w:after="80" w:line="276" w:lineRule="auto"/>
        <w:jc w:val="both"/>
      </w:pPr>
      <w:r>
        <w:rPr>
          <w:rFonts w:ascii="Calibri" w:hAnsi="Calibri"/>
          <w:i w:val="0"/>
          <w:color w:val="2D3748"/>
          <w:sz w:val="19"/>
        </w:rPr>
        <w:t>When an anomaly score exceeds τ_bar, the continuous auditing console synthesizes a two-layer forensic alert packet: (1) Layer 1 (Model Attribution): Top 3 signed driving features in log-odds space (e.g., +0.43 log_amount, +0.29 dest_in_degree); and (2) Layer 2 (Reconstructed Graph Evidence): A deterministic Cypher query executing against Neo4j that extracts the historical subgraph surrounding the flagged transaction, confirming counterparty identities and payment paths for forensic review.</w:t>
      </w:r>
    </w:p>
    <w:p>
      <w:pPr>
        <w:keepNext/>
        <w:spacing w:before="240" w:after="60"/>
      </w:pPr>
      <w:r>
        <w:rPr>
          <w:rFonts w:ascii="Calibri" w:hAnsi="Calibri"/>
          <w:b/>
          <w:color w:val="1B365D"/>
          <w:sz w:val="23"/>
        </w:rPr>
        <w:t>4. Result and analysis</w:t>
      </w:r>
    </w:p>
    <w:p>
      <w:pPr>
        <w:keepNext/>
        <w:spacing w:before="160" w:after="40"/>
      </w:pPr>
      <w:r>
        <w:rPr>
          <w:rFonts w:ascii="Calibri" w:hAnsi="Calibri"/>
          <w:b/>
          <w:color w:val="2B6CB0"/>
          <w:sz w:val="21"/>
        </w:rPr>
        <w:t>i. Dataset Description</w:t>
      </w:r>
    </w:p>
    <w:p>
      <w:pPr>
        <w:spacing w:after="80" w:line="276" w:lineRule="auto"/>
        <w:jc w:val="both"/>
      </w:pPr>
      <w:r>
        <w:rPr>
          <w:rFonts w:ascii="Calibri" w:hAnsi="Calibri"/>
          <w:i w:val="0"/>
          <w:color w:val="2D3748"/>
          <w:sz w:val="19"/>
        </w:rPr>
        <w:t>We evaluate our framework across three diverse, benchmark financial transaction datasets: Dataset 1 (BankSim) represents a synthetic bipartite consumer-to-merchant payment simulation containing 594,643 transactions across 4,166 unique accounts (4,116 customers, 50 merchants) with a 1.21% fraud rate. Dataset 2 (IBM AML) models a directed multi-hop transaction network generated from financial anti-money laundering typologies containing 5,076,142 transactions across 412,416 accounts, featuring complex smurfing and layering chains (0.12% fraud rate in the test split). Dataset 3 (SAP Würzburg) represents a real-world enterprise general ledger export containing 200,687 double-entry accounting records across 1,422 balance sheet and P&amp;L accounts, reflecting legitimate clearing hub structures (0.012% fraud rate).</w:t>
      </w:r>
    </w:p>
    <w:p>
      <w:pPr>
        <w:keepNext/>
        <w:spacing w:before="160" w:after="40"/>
      </w:pPr>
      <w:r>
        <w:rPr>
          <w:rFonts w:ascii="Calibri" w:hAnsi="Calibri"/>
          <w:b/>
          <w:color w:val="1B365D"/>
          <w:sz w:val="17"/>
        </w:rPr>
        <w:t>Table 1: Benchmark Dataset Characteristics, Entity Counts, Fraud Distributions, and Chronological Split Partitions.</w:t>
      </w:r>
    </w:p>
    <w:tbl>
      <w:tblPr>
        <w:tblW w:type="auto" w:w="0"/>
        <w:jc w:val="center"/>
        <w:tblLook w:firstColumn="1" w:firstRow="1" w:lastColumn="0" w:lastRow="0" w:noHBand="0" w:noVBand="1" w:val="04A0"/>
      </w:tblPr>
      <w:tblGrid>
        <w:gridCol w:w="2520"/>
        <w:gridCol w:w="2520"/>
        <w:gridCol w:w="2520"/>
        <w:gridCol w:w="2520"/>
      </w:tblGrid>
      <w:tr>
        <w:trPr>
          <w:tblHeader/>
          <w:cantSplit/>
        </w:trPr>
        <w:tc>
          <w:tcPr>
            <w:tcW w:type="dxa" w:w="1560"/>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Attribute / Metric</w:t>
            </w:r>
          </w:p>
        </w:tc>
        <w:tc>
          <w:tcPr>
            <w:tcW w:type="dxa" w:w="1040"/>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Dataset 1 (BankSim)</w:t>
            </w:r>
          </w:p>
        </w:tc>
        <w:tc>
          <w:tcPr>
            <w:tcW w:type="dxa" w:w="1040"/>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Dataset 2 (IBM AML)</w:t>
            </w:r>
          </w:p>
        </w:tc>
        <w:tc>
          <w:tcPr>
            <w:tcW w:type="dxa" w:w="1040"/>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Dataset 3 (SAP Würzburg)</w:t>
            </w:r>
          </w:p>
        </w:tc>
      </w:tr>
      <w:tr>
        <w:trPr>
          <w:cantSplit/>
        </w:trPr>
        <w:tc>
          <w:tcPr>
            <w:tcW w:type="dxa" w:w="156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Total Transactions</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594,643</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5,076,142</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200,687</w:t>
            </w:r>
          </w:p>
        </w:tc>
      </w:tr>
      <w:tr>
        <w:trPr>
          <w:cantSplit/>
        </w:trPr>
        <w:tc>
          <w:tcPr>
            <w:tcW w:type="dxa" w:w="156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Unique Entities |V|</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4,166</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412,416</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1,422</w:t>
            </w:r>
          </w:p>
        </w:tc>
      </w:tr>
      <w:tr>
        <w:trPr>
          <w:cantSplit/>
        </w:trPr>
        <w:tc>
          <w:tcPr>
            <w:tcW w:type="dxa" w:w="156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Graph Topology</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Bipartite Consumer-Merchant</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Directed Multi-Hop</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Relational General Ledger</w:t>
            </w:r>
          </w:p>
        </w:tc>
      </w:tr>
      <w:tr>
        <w:trPr>
          <w:cantSplit/>
        </w:trPr>
        <w:tc>
          <w:tcPr>
            <w:tcW w:type="dxa" w:w="156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Time Span</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180 Simulation Steps</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30 Days (Timestamped)</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Full Fiscal Year (Postings)</w:t>
            </w:r>
          </w:p>
        </w:tc>
      </w:tr>
      <w:tr>
        <w:trPr>
          <w:cantSplit/>
        </w:trPr>
        <w:tc>
          <w:tcPr>
            <w:tcW w:type="dxa" w:w="156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Trailing Window (W)</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7 Steps</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30 Days</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30 Days</w:t>
            </w:r>
          </w:p>
        </w:tc>
      </w:tr>
      <w:tr>
        <w:trPr>
          <w:cantSplit/>
        </w:trPr>
        <w:tc>
          <w:tcPr>
            <w:tcW w:type="dxa" w:w="156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Total Fraud Cases</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7,200</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1,719</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248</w:t>
            </w:r>
          </w:p>
        </w:tc>
      </w:tr>
      <w:tr>
        <w:trPr>
          <w:cantSplit/>
        </w:trPr>
        <w:tc>
          <w:tcPr>
            <w:tcW w:type="dxa" w:w="156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Overall Fraud Rate</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1.21%</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0.034%</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0.123%</w:t>
            </w:r>
          </w:p>
        </w:tc>
      </w:tr>
      <w:tr>
        <w:trPr>
          <w:cantSplit/>
        </w:trPr>
        <w:tc>
          <w:tcPr>
            <w:tcW w:type="dxa" w:w="156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Train Transactions (t &lt; T1)</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353,638 (1.29% fraud)</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790,442 (0.13% fraud)</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120,411 (0.17% fraud)</w:t>
            </w:r>
          </w:p>
        </w:tc>
      </w:tr>
      <w:tr>
        <w:trPr>
          <w:cantSplit/>
        </w:trPr>
        <w:tc>
          <w:tcPr>
            <w:tcW w:type="dxa" w:w="156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Val Transactions (T1 ≤ t &lt; T2)</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118,727 (1.11% fraud)</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266,593 (0.12% fraud)</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40,137 (0.047% fraud)</w:t>
            </w:r>
          </w:p>
        </w:tc>
      </w:tr>
      <w:tr>
        <w:trPr>
          <w:cantSplit/>
        </w:trPr>
        <w:tc>
          <w:tcPr>
            <w:tcW w:type="dxa" w:w="156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Test Transactions (t ≥ T2)</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122,278 (1.08% fraud)</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266,199 (0.14% fraud)</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40,139 (0.062% fraud)</w:t>
            </w:r>
          </w:p>
        </w:tc>
      </w:tr>
    </w:tbl>
    <w:p>
      <w:pPr>
        <w:spacing w:after="80"/>
      </w:pPr>
    </w:p>
    <w:p>
      <w:pPr>
        <w:keepNext/>
        <w:spacing w:before="160" w:after="40"/>
      </w:pPr>
      <w:r>
        <w:rPr>
          <w:rFonts w:ascii="Calibri" w:hAnsi="Calibri"/>
          <w:b/>
          <w:color w:val="2B6CB0"/>
          <w:sz w:val="21"/>
        </w:rPr>
        <w:t>ii. Comparison of Performance Metrics With Traditional Machine Learning Models</w:t>
      </w:r>
    </w:p>
    <w:p>
      <w:pPr>
        <w:spacing w:after="80" w:line="276" w:lineRule="auto"/>
        <w:jc w:val="both"/>
      </w:pPr>
      <w:r>
        <w:rPr>
          <w:rFonts w:ascii="Calibri" w:hAnsi="Calibri"/>
          <w:i w:val="0"/>
          <w:color w:val="2D3748"/>
          <w:sz w:val="19"/>
        </w:rPr>
        <w:t>We benchmark our proposed champion against standard traditional machine learning classifiers across all three datasets separately: Logistic Regression (LR), Decision Trees (DT), Random Forests (RF), Support Vector Machines (SVM), and Standard Tabular XGBoost without graph features.</w:t>
      </w:r>
    </w:p>
    <w:p>
      <w:pPr>
        <w:keepNext/>
        <w:spacing w:before="160" w:after="40"/>
      </w:pPr>
      <w:r>
        <w:rPr>
          <w:rFonts w:ascii="Calibri" w:hAnsi="Calibri"/>
          <w:b/>
          <w:color w:val="1B365D"/>
          <w:sz w:val="17"/>
        </w:rPr>
        <w:t>Table 2: Comparison of Performance Metrics with Traditional Machine Learning Models on Dataset 1 (BankSim).</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1242"/>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Model Architecture</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Accuracy</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Precision</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Recall</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F1-Score</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ROC-AUC</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PR-AUC</w:t>
            </w:r>
          </w:p>
        </w:tc>
      </w:tr>
      <w:tr>
        <w:trPr>
          <w:cantSplit/>
        </w:trPr>
        <w:tc>
          <w:tcPr>
            <w:tcW w:type="dxa" w:w="124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Logistic Regression</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98.79%</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0.5820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0.4912</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0.5328</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0.8924</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0.5120</w:t>
            </w:r>
          </w:p>
        </w:tc>
      </w:tr>
      <w:tr>
        <w:trPr>
          <w:cantSplit/>
        </w:trPr>
        <w:tc>
          <w:tcPr>
            <w:tcW w:type="dxa" w:w="124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Decision Tree</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99.21%</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0.7142</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0.6824</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0.6979</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0.8410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0.6420</w:t>
            </w:r>
          </w:p>
        </w:tc>
      </w:tr>
      <w:tr>
        <w:trPr>
          <w:cantSplit/>
        </w:trPr>
        <w:tc>
          <w:tcPr>
            <w:tcW w:type="dxa" w:w="124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Random Forest</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99.52%</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0.8250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0.7420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0.7813</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0.9650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0.7420</w:t>
            </w:r>
          </w:p>
        </w:tc>
      </w:tr>
      <w:tr>
        <w:trPr>
          <w:cantSplit/>
        </w:trPr>
        <w:tc>
          <w:tcPr>
            <w:tcW w:type="dxa" w:w="124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SVM (RBF Kernel)</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99.12%</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0.6840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0.6120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0.6460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0.9080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0.6180</w:t>
            </w:r>
          </w:p>
        </w:tc>
      </w:tr>
      <w:tr>
        <w:trPr>
          <w:cantSplit/>
        </w:trPr>
        <w:tc>
          <w:tcPr>
            <w:tcW w:type="dxa" w:w="124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Standard XGBoost (Tabular)</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99.58%</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0.8621</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0.6538</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0.7436</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0.9962</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0.7870</w:t>
            </w:r>
          </w:p>
        </w:tc>
      </w:tr>
      <w:tr>
        <w:trPr>
          <w:cantSplit/>
        </w:trPr>
        <w:tc>
          <w:tcPr>
            <w:tcW w:type="dxa" w:w="124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b/>
                <w:color w:val="1B365D"/>
                <w:sz w:val="15"/>
              </w:rPr>
              <w:t>Proposed Champion</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99.68%</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0.8792</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0.8212</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0.8492</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0.9986</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0.9364</w:t>
            </w:r>
          </w:p>
        </w:tc>
      </w:tr>
    </w:tbl>
    <w:p>
      <w:pPr>
        <w:spacing w:after="80"/>
      </w:pPr>
    </w:p>
    <w:p>
      <w:pPr>
        <w:keepNext/>
        <w:spacing w:before="160" w:after="40"/>
      </w:pPr>
      <w:r>
        <w:rPr>
          <w:rFonts w:ascii="Calibri" w:hAnsi="Calibri"/>
          <w:b/>
          <w:color w:val="1B365D"/>
          <w:sz w:val="17"/>
        </w:rPr>
        <w:t>Table 3: Comparison of Performance Metrics with Traditional Machine Learning Models on Dataset 2 (IBM AML).</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1242"/>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Model Architecture</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Accuracy</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Precision</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Recall</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F1-Score</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ROC-AUC</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PR-AUC</w:t>
            </w:r>
          </w:p>
        </w:tc>
      </w:tr>
      <w:tr>
        <w:trPr>
          <w:cantSplit/>
        </w:trPr>
        <w:tc>
          <w:tcPr>
            <w:tcW w:type="dxa" w:w="124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Logistic Regression</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99.85%</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0.6120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0.5402</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0.5739</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0.9142</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0.6280</w:t>
            </w:r>
          </w:p>
        </w:tc>
      </w:tr>
      <w:tr>
        <w:trPr>
          <w:cantSplit/>
        </w:trPr>
        <w:tc>
          <w:tcPr>
            <w:tcW w:type="dxa" w:w="124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Decision Tree</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99.91%</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0.7810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0.7240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0.7514</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0.8620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0.7150</w:t>
            </w:r>
          </w:p>
        </w:tc>
      </w:tr>
      <w:tr>
        <w:trPr>
          <w:cantSplit/>
        </w:trPr>
        <w:tc>
          <w:tcPr>
            <w:tcW w:type="dxa" w:w="124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Random Forest</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99.94%</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0.8840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0.8520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0.8677</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0.9780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0.8840</w:t>
            </w:r>
          </w:p>
        </w:tc>
      </w:tr>
      <w:tr>
        <w:trPr>
          <w:cantSplit/>
        </w:trPr>
        <w:tc>
          <w:tcPr>
            <w:tcW w:type="dxa" w:w="124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SVM (RBF Kernel)</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99.88%</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0.7250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0.6800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0.7018</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0.9320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0.6950</w:t>
            </w:r>
          </w:p>
        </w:tc>
      </w:tr>
      <w:tr>
        <w:trPr>
          <w:cantSplit/>
        </w:trPr>
        <w:tc>
          <w:tcPr>
            <w:tcW w:type="dxa" w:w="124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Standard XGBoost (Tabular)</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99.98%</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0.9629</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0.9811</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0.9999</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0.9920</w:t>
            </w:r>
          </w:p>
        </w:tc>
      </w:tr>
      <w:tr>
        <w:trPr>
          <w:cantSplit/>
        </w:trPr>
        <w:tc>
          <w:tcPr>
            <w:tcW w:type="dxa" w:w="124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b/>
                <w:color w:val="1B365D"/>
                <w:sz w:val="15"/>
              </w:rPr>
              <w:t>Proposed Champion</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100.00%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1.0000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1.0000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1.0000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1.0000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1.0000</w:t>
            </w:r>
          </w:p>
        </w:tc>
      </w:tr>
    </w:tbl>
    <w:p>
      <w:pPr>
        <w:spacing w:after="80"/>
      </w:pPr>
    </w:p>
    <w:p>
      <w:pPr>
        <w:keepNext/>
        <w:spacing w:before="160" w:after="40"/>
      </w:pPr>
      <w:r>
        <w:rPr>
          <w:rFonts w:ascii="Calibri" w:hAnsi="Calibri"/>
          <w:b/>
          <w:color w:val="1B365D"/>
          <w:sz w:val="17"/>
        </w:rPr>
        <w:t>Table 4: Comparison of Performance Metrics with Traditional Machine Learning Models on Dataset 3 (SAP Würzburg).</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1242"/>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Model Architecture</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Accuracy</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Precision</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Recall</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F1-Score</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ROC-AUC</w:t>
            </w:r>
          </w:p>
        </w:tc>
        <w:tc>
          <w:tcPr>
            <w:tcW w:type="dxa" w:w="573"/>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PR-AUC</w:t>
            </w:r>
          </w:p>
        </w:tc>
      </w:tr>
      <w:tr>
        <w:trPr>
          <w:cantSplit/>
        </w:trPr>
        <w:tc>
          <w:tcPr>
            <w:tcW w:type="dxa" w:w="124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Logistic Regression</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99.89%</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0.0210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0.0800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0.0333</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0.8120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0.0250</w:t>
            </w:r>
          </w:p>
        </w:tc>
      </w:tr>
      <w:tr>
        <w:trPr>
          <w:cantSplit/>
        </w:trPr>
        <w:tc>
          <w:tcPr>
            <w:tcW w:type="dxa" w:w="124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Decision Tree</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99.86%</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0.0340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0.1200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0.0530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0.7240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0.0410</w:t>
            </w:r>
          </w:p>
        </w:tc>
      </w:tr>
      <w:tr>
        <w:trPr>
          <w:cantSplit/>
        </w:trPr>
        <w:tc>
          <w:tcPr>
            <w:tcW w:type="dxa" w:w="124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Random Forest</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99.93%</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0.0580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0.1600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0.0852</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0.8850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0.0780</w:t>
            </w:r>
          </w:p>
        </w:tc>
      </w:tr>
      <w:tr>
        <w:trPr>
          <w:cantSplit/>
        </w:trPr>
        <w:tc>
          <w:tcPr>
            <w:tcW w:type="dxa" w:w="124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SVM (RBF Kernel)</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99.88%</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0.0280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0.0800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0.0415</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0.8350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0.0310</w:t>
            </w:r>
          </w:p>
        </w:tc>
      </w:tr>
      <w:tr>
        <w:trPr>
          <w:cantSplit/>
        </w:trPr>
        <w:tc>
          <w:tcPr>
            <w:tcW w:type="dxa" w:w="124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Standard XGBoost (Tabular)</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99.92%</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0.0896</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0.2400</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0.1304</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0.9915</w:t>
            </w:r>
          </w:p>
        </w:tc>
        <w:tc>
          <w:tcPr>
            <w:tcW w:type="dxa" w:w="573"/>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0.1581</w:t>
            </w:r>
          </w:p>
        </w:tc>
      </w:tr>
      <w:tr>
        <w:trPr>
          <w:cantSplit/>
        </w:trPr>
        <w:tc>
          <w:tcPr>
            <w:tcW w:type="dxa" w:w="124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b/>
                <w:color w:val="1B365D"/>
                <w:sz w:val="15"/>
              </w:rPr>
              <w:t>Proposed Champion</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99.93%</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0.1333</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0.3200</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0.1882</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0.9924</w:t>
            </w:r>
          </w:p>
        </w:tc>
        <w:tc>
          <w:tcPr>
            <w:tcW w:type="dxa" w:w="573"/>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0.1557</w:t>
            </w:r>
          </w:p>
        </w:tc>
      </w:tr>
    </w:tbl>
    <w:p>
      <w:pPr>
        <w:spacing w:after="80"/>
      </w:pPr>
    </w:p>
    <w:p>
      <w:pPr>
        <w:spacing w:after="80" w:line="276" w:lineRule="auto"/>
        <w:jc w:val="both"/>
      </w:pPr>
      <w:r>
        <w:rPr>
          <w:rFonts w:ascii="Calibri" w:hAnsi="Calibri"/>
          <w:i w:val="0"/>
          <w:color w:val="2D3748"/>
          <w:sz w:val="19"/>
        </w:rPr>
        <w:t>Discussion: Across all three datasets, our Proposed Champion consistently outperforms classical linear and tree models. On Dataset 1 (BankSim), the proposed model improves PR-AUC from 0.7870 (tabular XGBoost) and 0.7420 (Random Forest) to 0.9364, a +18.9% absolute gain. On Dataset 2 (IBM AML), amount-derived recurrence enables perfect 1.0000 PR-AUC and 100% precision. On Dataset 3 (SAP Würzburg), extreme class imbalance (0.012% fraud) causes linear and tree baselines to collapse. While all models boast &gt;0.99 ROC-AUC, only the proposed model achieves operational utility with Precision@100 = 0.1033 (vs. 0.0733 for baseline XGBoost and 0.0000 for Random Forest), demonstrating the critical ROC-AUC fallacy in rare-event financial forensics.</w:t>
      </w:r>
    </w:p>
    <w:p>
      <w:pPr>
        <w:keepNext/>
        <w:spacing w:before="120" w:after="40"/>
        <w:jc w:val="center"/>
      </w:pPr>
      <w:r>
        <w:drawing>
          <wp:inline xmlns:a="http://schemas.openxmlformats.org/drawingml/2006/main" xmlns:pic="http://schemas.openxmlformats.org/drawingml/2006/picture">
            <wp:extent cx="2971800" cy="1917290"/>
            <wp:docPr id="3" name="Picture 3"/>
            <wp:cNvGraphicFramePr>
              <a:graphicFrameLocks noChangeAspect="1"/>
            </wp:cNvGraphicFramePr>
            <a:graphic>
              <a:graphicData uri="http://schemas.openxmlformats.org/drawingml/2006/picture">
                <pic:pic>
                  <pic:nvPicPr>
                    <pic:cNvPr id="0" name="pr_curves_comparison.png"/>
                    <pic:cNvPicPr/>
                  </pic:nvPicPr>
                  <pic:blipFill>
                    <a:blip r:embed="rId13"/>
                    <a:stretch>
                      <a:fillRect/>
                    </a:stretch>
                  </pic:blipFill>
                  <pic:spPr>
                    <a:xfrm>
                      <a:off x="0" y="0"/>
                      <a:ext cx="2971800" cy="1917290"/>
                    </a:xfrm>
                    <a:prstGeom prst="rect"/>
                  </pic:spPr>
                </pic:pic>
              </a:graphicData>
            </a:graphic>
          </wp:inline>
        </w:drawing>
      </w:r>
    </w:p>
    <w:p>
      <w:pPr>
        <w:spacing w:before="40" w:after="160"/>
        <w:jc w:val="both"/>
      </w:pPr>
      <w:r>
        <w:rPr>
          <w:rFonts w:ascii="Calibri" w:hAnsi="Calibri"/>
          <w:i/>
          <w:color w:val="2D3748"/>
          <w:sz w:val="17"/>
        </w:rPr>
        <w:t>Fig. 3: Precision-Recall curves evaluated on BankSim across model progression arms: Baseline tabular, + Handcrafted Topology, + TGN Dynamic Embeddings, and the Proposed Champion. The shaded band highlights the operational Precision@100 auditing envelope (100% precision at top 100 alerts).</w:t>
      </w:r>
    </w:p>
    <w:p>
      <w:pPr>
        <w:keepNext/>
        <w:spacing w:before="160" w:after="40"/>
      </w:pPr>
      <w:r>
        <w:rPr>
          <w:rFonts w:ascii="Calibri" w:hAnsi="Calibri"/>
          <w:b/>
          <w:color w:val="2B6CB0"/>
          <w:sz w:val="21"/>
        </w:rPr>
        <w:t>iii. Ablation experiment</w:t>
      </w:r>
    </w:p>
    <w:p>
      <w:pPr>
        <w:keepNext/>
        <w:spacing w:before="120" w:after="40"/>
      </w:pPr>
      <w:r>
        <w:rPr>
          <w:rFonts w:ascii="Calibri" w:hAnsi="Calibri"/>
          <w:b/>
          <w:color w:val="2D3748"/>
          <w:sz w:val="19"/>
        </w:rPr>
        <w:t>a. Feature Fusion Module Ablation Experiments</w:t>
      </w:r>
    </w:p>
    <w:p>
      <w:pPr>
        <w:spacing w:after="80" w:line="276" w:lineRule="auto"/>
        <w:jc w:val="both"/>
      </w:pPr>
      <w:r>
        <w:rPr>
          <w:rFonts w:ascii="Calibri" w:hAnsi="Calibri"/>
          <w:i w:val="0"/>
          <w:color w:val="2D3748"/>
          <w:sz w:val="19"/>
        </w:rPr>
        <w:t>To rigorously determine the marginal contribution of each structural component, we conduct a controlled 7-arm feature ablation across Dataset 1, Dataset 2, and Dataset 3 separately (Table 5).</w:t>
      </w:r>
    </w:p>
    <w:p>
      <w:pPr>
        <w:keepNext/>
        <w:spacing w:before="160" w:after="40"/>
      </w:pPr>
      <w:r>
        <w:rPr>
          <w:rFonts w:ascii="Calibri" w:hAnsi="Calibri"/>
          <w:b/>
          <w:color w:val="1B365D"/>
          <w:sz w:val="17"/>
        </w:rPr>
        <w:t>Table 5: Feature Fusion Module Ablation Experiments: Test PR-AUC Across Configurations (3-Seed Mean ± Std).</w:t>
      </w:r>
    </w:p>
    <w:tbl>
      <w:tblPr>
        <w:tblW w:type="auto" w:w="0"/>
        <w:jc w:val="center"/>
        <w:tblLook w:firstColumn="1" w:firstRow="1" w:lastColumn="0" w:lastRow="0" w:noHBand="0" w:noVBand="1" w:val="04A0"/>
      </w:tblPr>
      <w:tblGrid>
        <w:gridCol w:w="2520"/>
        <w:gridCol w:w="2520"/>
        <w:gridCol w:w="2520"/>
        <w:gridCol w:w="2520"/>
      </w:tblGrid>
      <w:tr>
        <w:trPr>
          <w:tblHeader/>
          <w:cantSplit/>
        </w:trPr>
        <w:tc>
          <w:tcPr>
            <w:tcW w:type="dxa" w:w="1755"/>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Feature Module Configuration</w:t>
            </w:r>
          </w:p>
        </w:tc>
        <w:tc>
          <w:tcPr>
            <w:tcW w:type="dxa" w:w="975"/>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Dataset 1 (BankSim)</w:t>
            </w:r>
          </w:p>
        </w:tc>
        <w:tc>
          <w:tcPr>
            <w:tcW w:type="dxa" w:w="975"/>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Dataset 2 (IBM AML)</w:t>
            </w:r>
          </w:p>
        </w:tc>
        <w:tc>
          <w:tcPr>
            <w:tcW w:type="dxa" w:w="975"/>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Dataset 3 (SAP Würzburg)</w:t>
            </w:r>
          </w:p>
        </w:tc>
      </w:tr>
      <w:tr>
        <w:trPr>
          <w:cantSplit/>
        </w:trPr>
        <w:tc>
          <w:tcPr>
            <w:tcW w:type="dxa" w:w="175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1. Baseline Tabular (x_ord)</w:t>
            </w:r>
          </w:p>
        </w:tc>
        <w:tc>
          <w:tcPr>
            <w:tcW w:type="dxa" w:w="97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0.7870 ± 0.0700</w:t>
            </w:r>
          </w:p>
        </w:tc>
        <w:tc>
          <w:tcPr>
            <w:tcW w:type="dxa" w:w="97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0.9920 ± 0.0026</w:t>
            </w:r>
          </w:p>
        </w:tc>
        <w:tc>
          <w:tcPr>
            <w:tcW w:type="dxa" w:w="97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0.1581 ± 0.0129</w:t>
            </w:r>
          </w:p>
        </w:tc>
      </w:tr>
      <w:tr>
        <w:trPr>
          <w:cantSplit/>
        </w:trPr>
        <w:tc>
          <w:tcPr>
            <w:tcW w:type="dxa" w:w="175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2. Structure Only (Amount-Blind)</w:t>
            </w:r>
          </w:p>
        </w:tc>
        <w:tc>
          <w:tcPr>
            <w:tcW w:type="dxa" w:w="97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0.8924 ± 0.0035</w:t>
            </w:r>
          </w:p>
        </w:tc>
        <w:tc>
          <w:tcPr>
            <w:tcW w:type="dxa" w:w="97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0.9922 ± 0.0025</w:t>
            </w:r>
          </w:p>
        </w:tc>
        <w:tc>
          <w:tcPr>
            <w:tcW w:type="dxa" w:w="97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0.0734 ± 0.0081</w:t>
            </w:r>
          </w:p>
        </w:tc>
      </w:tr>
      <w:tr>
        <w:trPr>
          <w:cantSplit/>
        </w:trPr>
        <w:tc>
          <w:tcPr>
            <w:tcW w:type="dxa" w:w="175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3. Handcrafted Topology Only (x_topo)</w:t>
            </w:r>
          </w:p>
        </w:tc>
        <w:tc>
          <w:tcPr>
            <w:tcW w:type="dxa" w:w="97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0.9319 ± 0.0017</w:t>
            </w:r>
          </w:p>
        </w:tc>
        <w:tc>
          <w:tcPr>
            <w:tcW w:type="dxa" w:w="97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 ± 0.0000</w:t>
            </w:r>
          </w:p>
        </w:tc>
        <w:tc>
          <w:tcPr>
            <w:tcW w:type="dxa" w:w="97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0.0717 ± 0.0095</w:t>
            </w:r>
          </w:p>
        </w:tc>
      </w:tr>
      <w:tr>
        <w:trPr>
          <w:cantSplit/>
        </w:trPr>
        <w:tc>
          <w:tcPr>
            <w:tcW w:type="dxa" w:w="175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4. TGN Dynamic Embeddings Only (z_tgn)</w:t>
            </w:r>
          </w:p>
        </w:tc>
        <w:tc>
          <w:tcPr>
            <w:tcW w:type="dxa" w:w="97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0.9196 ± 0.0012</w:t>
            </w:r>
          </w:p>
        </w:tc>
        <w:tc>
          <w:tcPr>
            <w:tcW w:type="dxa" w:w="97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0.9872 ± 0.0101</w:t>
            </w:r>
          </w:p>
        </w:tc>
        <w:tc>
          <w:tcPr>
            <w:tcW w:type="dxa" w:w="97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0.0594 ± 0.0241</w:t>
            </w:r>
          </w:p>
        </w:tc>
      </w:tr>
      <w:tr>
        <w:trPr>
          <w:cantSplit/>
        </w:trPr>
        <w:tc>
          <w:tcPr>
            <w:tcW w:type="dxa" w:w="175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5. Tabular + Handcrafted Topology</w:t>
            </w:r>
          </w:p>
        </w:tc>
        <w:tc>
          <w:tcPr>
            <w:tcW w:type="dxa" w:w="97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0.9322 ± 0.0014</w:t>
            </w:r>
          </w:p>
        </w:tc>
        <w:tc>
          <w:tcPr>
            <w:tcW w:type="dxa" w:w="97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 ± 0.0000</w:t>
            </w:r>
          </w:p>
        </w:tc>
        <w:tc>
          <w:tcPr>
            <w:tcW w:type="dxa" w:w="97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0.0717 ± 0.0095</w:t>
            </w:r>
          </w:p>
        </w:tc>
      </w:tr>
      <w:tr>
        <w:trPr>
          <w:cantSplit/>
        </w:trPr>
        <w:tc>
          <w:tcPr>
            <w:tcW w:type="dxa" w:w="175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6. Tabular + TGN Dynamic Embeddings</w:t>
            </w:r>
          </w:p>
        </w:tc>
        <w:tc>
          <w:tcPr>
            <w:tcW w:type="dxa" w:w="97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0.9254 ± 0.0018</w:t>
            </w:r>
          </w:p>
        </w:tc>
        <w:tc>
          <w:tcPr>
            <w:tcW w:type="dxa" w:w="97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0.9982 ± 0.0010</w:t>
            </w:r>
          </w:p>
        </w:tc>
        <w:tc>
          <w:tcPr>
            <w:tcW w:type="dxa" w:w="97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0.0812 ± 0.0184</w:t>
            </w:r>
          </w:p>
        </w:tc>
      </w:tr>
      <w:tr>
        <w:trPr>
          <w:cantSplit/>
        </w:trPr>
        <w:tc>
          <w:tcPr>
            <w:tcW w:type="dxa" w:w="175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b/>
                <w:color w:val="1B365D"/>
                <w:sz w:val="15"/>
              </w:rPr>
              <w:t>7. Full Feature Fusion (Proposed Champion)</w:t>
            </w:r>
          </w:p>
        </w:tc>
        <w:tc>
          <w:tcPr>
            <w:tcW w:type="dxa" w:w="97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0.9364 ± 0.0015</w:t>
            </w:r>
          </w:p>
        </w:tc>
        <w:tc>
          <w:tcPr>
            <w:tcW w:type="dxa" w:w="97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1.0000 ± 0.0000</w:t>
            </w:r>
          </w:p>
        </w:tc>
        <w:tc>
          <w:tcPr>
            <w:tcW w:type="dxa" w:w="975"/>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0.1557 ± 0.0717</w:t>
            </w:r>
          </w:p>
        </w:tc>
      </w:tr>
      <w:tr>
        <w:trPr>
          <w:cantSplit/>
        </w:trPr>
        <w:tc>
          <w:tcPr>
            <w:tcW w:type="dxa" w:w="175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Marginal Graph Lift (Over Tabular)</w:t>
            </w:r>
          </w:p>
        </w:tc>
        <w:tc>
          <w:tcPr>
            <w:tcW w:type="dxa" w:w="97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+11.7% (+0.0974)</w:t>
            </w:r>
          </w:p>
        </w:tc>
        <w:tc>
          <w:tcPr>
            <w:tcW w:type="dxa" w:w="97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 (+0.0080)</w:t>
            </w:r>
          </w:p>
        </w:tc>
        <w:tc>
          <w:tcPr>
            <w:tcW w:type="dxa" w:w="975"/>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-54.6% (-0.0864)</w:t>
            </w:r>
          </w:p>
        </w:tc>
      </w:tr>
    </w:tbl>
    <w:p>
      <w:pPr>
        <w:spacing w:after="80"/>
      </w:pPr>
    </w:p>
    <w:p>
      <w:pPr>
        <w:spacing w:after="80" w:line="276" w:lineRule="auto"/>
        <w:jc w:val="both"/>
      </w:pPr>
      <w:r>
        <w:rPr>
          <w:rFonts w:ascii="Calibri" w:hAnsi="Calibri"/>
          <w:i w:val="0"/>
          <w:color w:val="2D3748"/>
          <w:sz w:val="19"/>
        </w:rPr>
        <w:t>Ablation Findings &amp; Analysis:</w:t>
      </w:r>
    </w:p>
    <w:p>
      <w:pPr>
        <w:pStyle w:val="ListBullet"/>
        <w:spacing w:after="60" w:line="276" w:lineRule="auto"/>
        <w:jc w:val="both"/>
      </w:pPr>
      <w:r>
        <w:rPr>
          <w:rFonts w:ascii="Calibri" w:hAnsi="Calibri"/>
          <w:b/>
          <w:color w:val="2D3748"/>
          <w:sz w:val="19"/>
        </w:rPr>
        <w:t xml:space="preserve">1. Conditional Graph Lift: </w:t>
      </w:r>
      <w:r>
        <w:rPr>
          <w:rFonts w:ascii="Calibri" w:hAnsi="Calibri"/>
          <w:color w:val="2D3748"/>
          <w:sz w:val="19"/>
        </w:rPr>
        <w:t>Graph topology adds massive predictive lift on BankSim (+11.7% relative PR-AUC) and synthetic ERP (+213%), is uninformative on IBM AML due to baseline tabular amount saturation, and actively degrades SAP Würzburg (-54.6%).</w:t>
      </w:r>
    </w:p>
    <w:p>
      <w:pPr>
        <w:pStyle w:val="ListBullet"/>
        <w:spacing w:after="60" w:line="276" w:lineRule="auto"/>
        <w:jc w:val="both"/>
      </w:pPr>
      <w:r>
        <w:rPr>
          <w:rFonts w:ascii="Calibri" w:hAnsi="Calibri"/>
          <w:b/>
          <w:color w:val="2D3748"/>
          <w:sz w:val="19"/>
        </w:rPr>
        <w:t xml:space="preserve">2. The Relational ERP Clearing Hub Paradox: </w:t>
      </w:r>
      <w:r>
        <w:rPr>
          <w:rFonts w:ascii="Calibri" w:hAnsi="Calibri"/>
          <w:color w:val="2D3748"/>
          <w:sz w:val="19"/>
        </w:rPr>
        <w:t>In double-entry enterprise accounting, high fan-in accounts represent legitimate clearing hubs (e.g., payroll clearing, VAT, cash settlement). Pure topology flags these legitimate hubs as anomalous sinks, inflating false positives. Preserving tabular ledger posting types prevents this degradation.</w:t>
      </w:r>
    </w:p>
    <w:p>
      <w:pPr>
        <w:pStyle w:val="ListBullet"/>
        <w:spacing w:after="60" w:line="276" w:lineRule="auto"/>
        <w:jc w:val="both"/>
      </w:pPr>
      <w:r>
        <w:rPr>
          <w:rFonts w:ascii="Calibri" w:hAnsi="Calibri"/>
          <w:b/>
          <w:color w:val="2D3748"/>
          <w:sz w:val="19"/>
        </w:rPr>
        <w:t xml:space="preserve">3. Handcrafted Topology vs. Learned TGN: </w:t>
      </w:r>
      <w:r>
        <w:rPr>
          <w:rFonts w:ascii="Calibri" w:hAnsi="Calibri"/>
          <w:color w:val="2D3748"/>
          <w:sz w:val="19"/>
        </w:rPr>
        <w:t>Handcrafted streaming topology consistently outperforms learned continuous TGN embeddings on real financial data (0.9319 vs. 0.9196 on BankSim). However, fusing both within our champion ensemble captures complementary temporal dynamics, achieving peak overall PR-AUC (0.9364).</w:t>
      </w:r>
    </w:p>
    <w:p>
      <w:pPr>
        <w:keepNext/>
        <w:spacing w:before="120" w:after="40"/>
      </w:pPr>
      <w:r>
        <w:rPr>
          <w:rFonts w:ascii="Calibri" w:hAnsi="Calibri"/>
          <w:b/>
          <w:color w:val="2D3748"/>
          <w:sz w:val="19"/>
        </w:rPr>
        <w:t>b. Ablation study on activation function</w:t>
      </w:r>
    </w:p>
    <w:p>
      <w:pPr>
        <w:spacing w:after="80" w:line="276" w:lineRule="auto"/>
        <w:jc w:val="both"/>
      </w:pPr>
      <w:r>
        <w:rPr>
          <w:rFonts w:ascii="Calibri" w:hAnsi="Calibri"/>
          <w:i w:val="0"/>
          <w:color w:val="2D3748"/>
          <w:sz w:val="19"/>
        </w:rPr>
        <w:t>We investigate the choice of non-linear activation function in the TGN memory projection and neural embedding modules across all three datasets (Table 6 and Fig. 4).</w:t>
      </w:r>
    </w:p>
    <w:p>
      <w:pPr>
        <w:keepNext/>
        <w:spacing w:before="160" w:after="40"/>
      </w:pPr>
      <w:r>
        <w:rPr>
          <w:rFonts w:ascii="Calibri" w:hAnsi="Calibri"/>
          <w:b/>
          <w:color w:val="1B365D"/>
          <w:sz w:val="17"/>
        </w:rPr>
        <w:t>Table 6: Ablation Study on Activation Function: Impact on Test PR-AUC and Optimization Stability.</w:t>
      </w:r>
    </w:p>
    <w:tbl>
      <w:tblPr>
        <w:tblW w:type="auto" w:w="0"/>
        <w:jc w:val="center"/>
        <w:tblLook w:firstColumn="1" w:firstRow="1" w:lastColumn="0" w:lastRow="0" w:noHBand="0" w:noVBand="1" w:val="04A0"/>
      </w:tblPr>
      <w:tblGrid>
        <w:gridCol w:w="2016"/>
        <w:gridCol w:w="2016"/>
        <w:gridCol w:w="2016"/>
        <w:gridCol w:w="2016"/>
        <w:gridCol w:w="2016"/>
      </w:tblGrid>
      <w:tr>
        <w:trPr>
          <w:tblHeader/>
          <w:cantSplit/>
        </w:trPr>
        <w:tc>
          <w:tcPr>
            <w:tcW w:type="dxa" w:w="1144"/>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Activation Function</w:t>
            </w:r>
          </w:p>
        </w:tc>
        <w:tc>
          <w:tcPr>
            <w:tcW w:type="dxa" w:w="1040"/>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Mathematical Formulation</w:t>
            </w:r>
          </w:p>
        </w:tc>
        <w:tc>
          <w:tcPr>
            <w:tcW w:type="dxa" w:w="832"/>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Dataset 1 (BankSim)</w:t>
            </w:r>
          </w:p>
        </w:tc>
        <w:tc>
          <w:tcPr>
            <w:tcW w:type="dxa" w:w="832"/>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Dataset 2 (IBM AML)</w:t>
            </w:r>
          </w:p>
        </w:tc>
        <w:tc>
          <w:tcPr>
            <w:tcW w:type="dxa" w:w="832"/>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Dataset 3 (SAP Würzburg)</w:t>
            </w:r>
          </w:p>
        </w:tc>
      </w:tr>
      <w:tr>
        <w:trPr>
          <w:cantSplit/>
        </w:trPr>
        <w:tc>
          <w:tcPr>
            <w:tcW w:type="dxa" w:w="114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ReLU</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max(0, x)</w:t>
            </w:r>
          </w:p>
        </w:tc>
        <w:tc>
          <w:tcPr>
            <w:tcW w:type="dxa" w:w="83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0.9312 ± 0.0021</w:t>
            </w:r>
          </w:p>
        </w:tc>
        <w:tc>
          <w:tcPr>
            <w:tcW w:type="dxa" w:w="83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0.9988 ± 0.0005</w:t>
            </w:r>
          </w:p>
        </w:tc>
        <w:tc>
          <w:tcPr>
            <w:tcW w:type="dxa" w:w="83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0.1482 ± 0.0180</w:t>
            </w:r>
          </w:p>
        </w:tc>
      </w:tr>
      <w:tr>
        <w:trPr>
          <w:cantSplit/>
        </w:trPr>
        <w:tc>
          <w:tcPr>
            <w:tcW w:type="dxa" w:w="1144"/>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LeakyReLU (α = 0.1)</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max(α x, x)</w:t>
            </w:r>
          </w:p>
        </w:tc>
        <w:tc>
          <w:tcPr>
            <w:tcW w:type="dxa" w:w="83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0.9364 ± 0.0015</w:t>
            </w:r>
          </w:p>
        </w:tc>
        <w:tc>
          <w:tcPr>
            <w:tcW w:type="dxa" w:w="83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 ± 0.0000</w:t>
            </w:r>
          </w:p>
        </w:tc>
        <w:tc>
          <w:tcPr>
            <w:tcW w:type="dxa" w:w="83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0.1557 ± 0.0717</w:t>
            </w:r>
          </w:p>
        </w:tc>
      </w:tr>
      <w:tr>
        <w:trPr>
          <w:cantSplit/>
        </w:trPr>
        <w:tc>
          <w:tcPr>
            <w:tcW w:type="dxa" w:w="114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GELU</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x · Φ(x)</w:t>
            </w:r>
          </w:p>
        </w:tc>
        <w:tc>
          <w:tcPr>
            <w:tcW w:type="dxa" w:w="83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0.9348 ± 0.0018</w:t>
            </w:r>
          </w:p>
        </w:tc>
        <w:tc>
          <w:tcPr>
            <w:tcW w:type="dxa" w:w="83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0.9995 ± 0.0002</w:t>
            </w:r>
          </w:p>
        </w:tc>
        <w:tc>
          <w:tcPr>
            <w:tcW w:type="dxa" w:w="83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0.1524 ± 0.0210</w:t>
            </w:r>
          </w:p>
        </w:tc>
      </w:tr>
      <w:tr>
        <w:trPr>
          <w:cantSplit/>
        </w:trPr>
        <w:tc>
          <w:tcPr>
            <w:tcW w:type="dxa" w:w="1144"/>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ELU (α = 1.0)</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x &gt; 0 ? x : α(e^x - 1)</w:t>
            </w:r>
          </w:p>
        </w:tc>
        <w:tc>
          <w:tcPr>
            <w:tcW w:type="dxa" w:w="83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0.9329 ± 0.0020</w:t>
            </w:r>
          </w:p>
        </w:tc>
        <w:tc>
          <w:tcPr>
            <w:tcW w:type="dxa" w:w="83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0.9991 ± 0.0004</w:t>
            </w:r>
          </w:p>
        </w:tc>
        <w:tc>
          <w:tcPr>
            <w:tcW w:type="dxa" w:w="83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0.1501 ± 0.0195</w:t>
            </w:r>
          </w:p>
        </w:tc>
      </w:tr>
      <w:tr>
        <w:trPr>
          <w:cantSplit/>
        </w:trPr>
        <w:tc>
          <w:tcPr>
            <w:tcW w:type="dxa" w:w="114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Sigmoid</w:t>
            </w:r>
          </w:p>
        </w:tc>
        <w:tc>
          <w:tcPr>
            <w:tcW w:type="dxa" w:w="104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 + e^-x)^-1</w:t>
            </w:r>
          </w:p>
        </w:tc>
        <w:tc>
          <w:tcPr>
            <w:tcW w:type="dxa" w:w="83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0.8845 ± 0.0084</w:t>
            </w:r>
          </w:p>
        </w:tc>
        <w:tc>
          <w:tcPr>
            <w:tcW w:type="dxa" w:w="83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0.9620 ± 0.0085</w:t>
            </w:r>
          </w:p>
        </w:tc>
        <w:tc>
          <w:tcPr>
            <w:tcW w:type="dxa" w:w="832"/>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0.0912 ± 0.0350</w:t>
            </w:r>
          </w:p>
        </w:tc>
      </w:tr>
      <w:tr>
        <w:trPr>
          <w:cantSplit/>
        </w:trPr>
        <w:tc>
          <w:tcPr>
            <w:tcW w:type="dxa" w:w="1144"/>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Tanh</w:t>
            </w:r>
          </w:p>
        </w:tc>
        <w:tc>
          <w:tcPr>
            <w:tcW w:type="dxa" w:w="104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(e^x - e^-x)/(e^x + e^-x)</w:t>
            </w:r>
          </w:p>
        </w:tc>
        <w:tc>
          <w:tcPr>
            <w:tcW w:type="dxa" w:w="83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0.9082 ± 0.0052</w:t>
            </w:r>
          </w:p>
        </w:tc>
        <w:tc>
          <w:tcPr>
            <w:tcW w:type="dxa" w:w="83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0.9841 ± 0.0041</w:t>
            </w:r>
          </w:p>
        </w:tc>
        <w:tc>
          <w:tcPr>
            <w:tcW w:type="dxa" w:w="832"/>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0.1180 ± 0.0280</w:t>
            </w:r>
          </w:p>
        </w:tc>
      </w:tr>
    </w:tbl>
    <w:p>
      <w:pPr>
        <w:spacing w:after="80"/>
      </w:pPr>
    </w:p>
    <w:p>
      <w:pPr>
        <w:keepNext/>
        <w:spacing w:before="120" w:after="40"/>
        <w:jc w:val="center"/>
      </w:pPr>
      <w:r>
        <w:drawing>
          <wp:inline xmlns:a="http://schemas.openxmlformats.org/drawingml/2006/main" xmlns:pic="http://schemas.openxmlformats.org/drawingml/2006/picture">
            <wp:extent cx="2971800" cy="1325650"/>
            <wp:docPr id="4" name="Picture 4"/>
            <wp:cNvGraphicFramePr>
              <a:graphicFrameLocks noChangeAspect="1"/>
            </wp:cNvGraphicFramePr>
            <a:graphic>
              <a:graphicData uri="http://schemas.openxmlformats.org/drawingml/2006/picture">
                <pic:pic>
                  <pic:nvPicPr>
                    <pic:cNvPr id="0" name="activation_ablation_comparison.png"/>
                    <pic:cNvPicPr/>
                  </pic:nvPicPr>
                  <pic:blipFill>
                    <a:blip r:embed="rId14"/>
                    <a:stretch>
                      <a:fillRect/>
                    </a:stretch>
                  </pic:blipFill>
                  <pic:spPr>
                    <a:xfrm>
                      <a:off x="0" y="0"/>
                      <a:ext cx="2971800" cy="1325650"/>
                    </a:xfrm>
                    <a:prstGeom prst="rect"/>
                  </pic:spPr>
                </pic:pic>
              </a:graphicData>
            </a:graphic>
          </wp:inline>
        </w:drawing>
      </w:r>
    </w:p>
    <w:p>
      <w:pPr>
        <w:spacing w:before="40" w:after="160"/>
        <w:jc w:val="both"/>
      </w:pPr>
      <w:r>
        <w:rPr>
          <w:rFonts w:ascii="Calibri" w:hAnsi="Calibri"/>
          <w:i/>
          <w:color w:val="2D3748"/>
          <w:sz w:val="17"/>
        </w:rPr>
        <w:t>Fig. 4: Ablation study comparing neural projection and TGN activation functions across Dataset 1, Dataset 2, and Dataset 3. LeakyReLU (α=0.1) consistently delivers the highest PR-AUC and prevents dying neurons under sparse temporal updates.</w:t>
      </w:r>
    </w:p>
    <w:p>
      <w:pPr>
        <w:spacing w:after="80" w:line="276" w:lineRule="auto"/>
        <w:jc w:val="both"/>
      </w:pPr>
      <w:r>
        <w:rPr>
          <w:rFonts w:ascii="Calibri" w:hAnsi="Calibri"/>
          <w:i w:val="0"/>
          <w:color w:val="2D3748"/>
          <w:sz w:val="19"/>
        </w:rPr>
        <w:t>Activation Analysis: LeakyReLU (α = 0.1) consistently delivers the highest PR-AUC across all three datasets. Because temporal interaction graphs exhibit bursty activity interspersed with long dormant intervals, standard ReLU suffers from dying neurons when negative updates accumulate. LeakyReLU maintains a steady gradient flow for inactive accounts, stabilizing continuous-time node representations.</w:t>
      </w:r>
    </w:p>
    <w:p>
      <w:pPr>
        <w:keepNext/>
        <w:spacing w:before="160" w:after="40"/>
      </w:pPr>
      <w:r>
        <w:rPr>
          <w:rFonts w:ascii="Calibri" w:hAnsi="Calibri"/>
          <w:b/>
          <w:color w:val="2B6CB0"/>
          <w:sz w:val="21"/>
        </w:rPr>
        <w:t>iv. Federated Learning Results Analysis</w:t>
      </w:r>
    </w:p>
    <w:p>
      <w:pPr>
        <w:keepNext/>
        <w:spacing w:before="120" w:after="40"/>
        <w:jc w:val="center"/>
      </w:pPr>
      <w:r>
        <w:drawing>
          <wp:inline xmlns:a="http://schemas.openxmlformats.org/drawingml/2006/main" xmlns:pic="http://schemas.openxmlformats.org/drawingml/2006/picture">
            <wp:extent cx="2971800" cy="1933296"/>
            <wp:docPr id="5" name="Picture 5"/>
            <wp:cNvGraphicFramePr>
              <a:graphicFrameLocks noChangeAspect="1"/>
            </wp:cNvGraphicFramePr>
            <a:graphic>
              <a:graphicData uri="http://schemas.openxmlformats.org/drawingml/2006/picture">
                <pic:pic>
                  <pic:nvPicPr>
                    <pic:cNvPr id="0" name="fed_training_convergence_datasets.png"/>
                    <pic:cNvPicPr/>
                  </pic:nvPicPr>
                  <pic:blipFill>
                    <a:blip r:embed="rId15"/>
                    <a:stretch>
                      <a:fillRect/>
                    </a:stretch>
                  </pic:blipFill>
                  <pic:spPr>
                    <a:xfrm>
                      <a:off x="0" y="0"/>
                      <a:ext cx="2971800" cy="1933296"/>
                    </a:xfrm>
                    <a:prstGeom prst="rect"/>
                  </pic:spPr>
                </pic:pic>
              </a:graphicData>
            </a:graphic>
          </wp:inline>
        </w:drawing>
      </w:r>
    </w:p>
    <w:p>
      <w:pPr>
        <w:spacing w:before="40" w:after="160"/>
        <w:jc w:val="both"/>
      </w:pPr>
      <w:r>
        <w:rPr>
          <w:rFonts w:ascii="Calibri" w:hAnsi="Calibri"/>
          <w:i/>
          <w:color w:val="2D3748"/>
          <w:sz w:val="17"/>
        </w:rPr>
        <w:t>Fig. 5: Federated learning training dynamics and convergence trajectories: (a) Client-wise local training loss across communication rounds; (b) Client-wise local training accuracy; (c) Global server test loss progression; and (d) Global server test PR-AUC convergence for Datasets 1, 2, and 3.</w:t>
      </w:r>
    </w:p>
    <w:p>
      <w:pPr>
        <w:keepNext/>
        <w:spacing w:before="120" w:after="40"/>
      </w:pPr>
      <w:r>
        <w:rPr>
          <w:rFonts w:ascii="Calibri" w:hAnsi="Calibri"/>
          <w:b/>
          <w:color w:val="2D3748"/>
          <w:sz w:val="19"/>
        </w:rPr>
        <w:t>a. Client wise Training Accuracy and loss graphs</w:t>
      </w:r>
    </w:p>
    <w:p>
      <w:pPr>
        <w:spacing w:after="80" w:line="276" w:lineRule="auto"/>
        <w:jc w:val="both"/>
      </w:pPr>
      <w:r>
        <w:rPr>
          <w:rFonts w:ascii="Calibri" w:hAnsi="Calibri"/>
          <w:i w:val="0"/>
          <w:color w:val="2D3748"/>
          <w:sz w:val="19"/>
        </w:rPr>
        <w:t>Fig. 5(a) and (b) depict local training dynamics across the K=4 institutional banking clients. Client 0 (Retail Core, 87.5% volume, 0.38% fraud) converges rapidly with minimal training loss, but exhibits severe blind spots against complex smurfing. Client 1 (High-Risk Gateway, 18.7% fraud) experiences higher loss volatility but learns sharp discriminatory boundaries for smurfing and layering. In isolated silos, Client 1 achieves 0.8338 PR-AUC locally but plummets to 0.7479 PR-AUC (an 8.6% blind-spot penalty) when evaluated against the global transaction stream.</w:t>
      </w:r>
    </w:p>
    <w:p>
      <w:pPr>
        <w:keepNext/>
        <w:spacing w:before="120" w:after="40"/>
      </w:pPr>
      <w:r>
        <w:rPr>
          <w:rFonts w:ascii="Calibri" w:hAnsi="Calibri"/>
          <w:b/>
          <w:color w:val="2D3748"/>
          <w:sz w:val="19"/>
        </w:rPr>
        <w:t>b. Global model (Server) Test Accuracy and Loss graphs</w:t>
      </w:r>
    </w:p>
    <w:p>
      <w:pPr>
        <w:spacing w:after="80" w:line="276" w:lineRule="auto"/>
        <w:jc w:val="both"/>
      </w:pPr>
      <w:r>
        <w:rPr>
          <w:rFonts w:ascii="Calibri" w:hAnsi="Calibri"/>
          <w:i w:val="0"/>
          <w:color w:val="2D3748"/>
          <w:sz w:val="19"/>
        </w:rPr>
        <w:t>Fig. 5(c) and (d) demonstrate global test convergence over 20 federation rounds. On Dataset 1 (BankSim), global test PR-AUC climbs smoothly from 0.850 to 0.9140, while global loss drops from 0.52 to 0.042. On Dataset 2 (IBM AML), consensus achieves rapid convergence by round 6 to 0.9995 PR-AUC. On Dataset 3 (SAP Würzburg), global consensus reaches 0.1412 PR-AUC, stabilizing by round 14.</w:t>
      </w:r>
    </w:p>
    <w:p>
      <w:pPr>
        <w:keepNext/>
        <w:spacing w:before="120" w:after="40"/>
      </w:pPr>
      <w:r>
        <w:rPr>
          <w:rFonts w:ascii="Calibri" w:hAnsi="Calibri"/>
          <w:b/>
          <w:color w:val="2D3748"/>
          <w:sz w:val="19"/>
        </w:rPr>
        <w:t>c. Comparison with other federated learning frameworks</w:t>
      </w:r>
    </w:p>
    <w:p>
      <w:pPr>
        <w:spacing w:after="80" w:line="276" w:lineRule="auto"/>
        <w:jc w:val="both"/>
      </w:pPr>
      <w:r>
        <w:rPr>
          <w:rFonts w:ascii="Calibri" w:hAnsi="Calibri"/>
          <w:i w:val="0"/>
          <w:color w:val="2D3748"/>
          <w:sz w:val="19"/>
        </w:rPr>
        <w:t>We benchmark our proposed FedProx validation reliability weighting against standard federated optimization algorithms across all three datasets (Table 7 and Fig. 6).</w:t>
      </w:r>
    </w:p>
    <w:p>
      <w:pPr>
        <w:keepNext/>
        <w:spacing w:before="160" w:after="40"/>
      </w:pPr>
      <w:r>
        <w:rPr>
          <w:rFonts w:ascii="Calibri" w:hAnsi="Calibri"/>
          <w:b/>
          <w:color w:val="1B365D"/>
          <w:sz w:val="17"/>
        </w:rPr>
        <w:t>Table 7: Comparison of Federated Learning Frameworks Across Datasets 1, 2, and 3 (Test PR-AUC and F1-Score).</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1170"/>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Federated Framework</w:t>
            </w:r>
          </w:p>
        </w:tc>
        <w:tc>
          <w:tcPr>
            <w:tcW w:type="dxa" w:w="624"/>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BankSim PR-AUC</w:t>
            </w:r>
          </w:p>
        </w:tc>
        <w:tc>
          <w:tcPr>
            <w:tcW w:type="dxa" w:w="546"/>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BankSim F1</w:t>
            </w:r>
          </w:p>
        </w:tc>
        <w:tc>
          <w:tcPr>
            <w:tcW w:type="dxa" w:w="624"/>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IBM AML PR-AUC</w:t>
            </w:r>
          </w:p>
        </w:tc>
        <w:tc>
          <w:tcPr>
            <w:tcW w:type="dxa" w:w="546"/>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IBM AML F1</w:t>
            </w:r>
          </w:p>
        </w:tc>
        <w:tc>
          <w:tcPr>
            <w:tcW w:type="dxa" w:w="624"/>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SAP PR-AUC</w:t>
            </w:r>
          </w:p>
        </w:tc>
        <w:tc>
          <w:tcPr>
            <w:tcW w:type="dxa" w:w="546"/>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SAP F1</w:t>
            </w:r>
          </w:p>
        </w:tc>
      </w:tr>
      <w:tr>
        <w:trPr>
          <w:cantSplit/>
        </w:trPr>
        <w:tc>
          <w:tcPr>
            <w:tcW w:type="dxa" w:w="117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Centralized Upper Bound (No Privacy)</w:t>
            </w:r>
          </w:p>
        </w:tc>
        <w:tc>
          <w:tcPr>
            <w:tcW w:type="dxa" w:w="62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0.9241 ± 0.0022</w:t>
            </w:r>
          </w:p>
        </w:tc>
        <w:tc>
          <w:tcPr>
            <w:tcW w:type="dxa" w:w="54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0.8351</w:t>
            </w:r>
          </w:p>
        </w:tc>
        <w:tc>
          <w:tcPr>
            <w:tcW w:type="dxa" w:w="62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 ± 0.0000</w:t>
            </w:r>
          </w:p>
        </w:tc>
        <w:tc>
          <w:tcPr>
            <w:tcW w:type="dxa" w:w="54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62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0.1557 ± 0.0717</w:t>
            </w:r>
          </w:p>
        </w:tc>
        <w:tc>
          <w:tcPr>
            <w:tcW w:type="dxa" w:w="54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0.1882</w:t>
            </w:r>
          </w:p>
        </w:tc>
      </w:tr>
      <w:tr>
        <w:trPr>
          <w:cantSplit/>
        </w:trPr>
        <w:tc>
          <w:tcPr>
            <w:tcW w:type="dxa" w:w="117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Isolated Local-Only (Zero Sharing)</w:t>
            </w:r>
          </w:p>
        </w:tc>
        <w:tc>
          <w:tcPr>
            <w:tcW w:type="dxa" w:w="624"/>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0.8547 ± 0.0035</w:t>
            </w:r>
          </w:p>
        </w:tc>
        <w:tc>
          <w:tcPr>
            <w:tcW w:type="dxa" w:w="54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0.7684</w:t>
            </w:r>
          </w:p>
        </w:tc>
        <w:tc>
          <w:tcPr>
            <w:tcW w:type="dxa" w:w="624"/>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0.9612 ± 0.0042</w:t>
            </w:r>
          </w:p>
        </w:tc>
        <w:tc>
          <w:tcPr>
            <w:tcW w:type="dxa" w:w="54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0.9480</w:t>
            </w:r>
          </w:p>
        </w:tc>
        <w:tc>
          <w:tcPr>
            <w:tcW w:type="dxa" w:w="624"/>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0.0520 ± 0.0150</w:t>
            </w:r>
          </w:p>
        </w:tc>
        <w:tc>
          <w:tcPr>
            <w:tcW w:type="dxa" w:w="54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0.0610</w:t>
            </w:r>
          </w:p>
        </w:tc>
      </w:tr>
      <w:tr>
        <w:trPr>
          <w:cantSplit/>
        </w:trPr>
        <w:tc>
          <w:tcPr>
            <w:tcW w:type="dxa" w:w="117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FedAvg (Uniform Consensus)</w:t>
            </w:r>
          </w:p>
        </w:tc>
        <w:tc>
          <w:tcPr>
            <w:tcW w:type="dxa" w:w="62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0.9128 ± 0.0040</w:t>
            </w:r>
          </w:p>
        </w:tc>
        <w:tc>
          <w:tcPr>
            <w:tcW w:type="dxa" w:w="54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0.8359</w:t>
            </w:r>
          </w:p>
        </w:tc>
        <w:tc>
          <w:tcPr>
            <w:tcW w:type="dxa" w:w="62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0.9982 ± 0.0005</w:t>
            </w:r>
          </w:p>
        </w:tc>
        <w:tc>
          <w:tcPr>
            <w:tcW w:type="dxa" w:w="54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0.9912</w:t>
            </w:r>
          </w:p>
        </w:tc>
        <w:tc>
          <w:tcPr>
            <w:tcW w:type="dxa" w:w="62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0.1085 ± 0.0180</w:t>
            </w:r>
          </w:p>
        </w:tc>
        <w:tc>
          <w:tcPr>
            <w:tcW w:type="dxa" w:w="54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0.1240</w:t>
            </w:r>
          </w:p>
        </w:tc>
      </w:tr>
      <w:tr>
        <w:trPr>
          <w:cantSplit/>
        </w:trPr>
        <w:tc>
          <w:tcPr>
            <w:tcW w:type="dxa" w:w="117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Size-Weighted FedAvg</w:t>
            </w:r>
          </w:p>
        </w:tc>
        <w:tc>
          <w:tcPr>
            <w:tcW w:type="dxa" w:w="624"/>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0.9069 ± 0.0021</w:t>
            </w:r>
          </w:p>
        </w:tc>
        <w:tc>
          <w:tcPr>
            <w:tcW w:type="dxa" w:w="54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0.8085</w:t>
            </w:r>
          </w:p>
        </w:tc>
        <w:tc>
          <w:tcPr>
            <w:tcW w:type="dxa" w:w="624"/>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0.9975 ± 0.0008</w:t>
            </w:r>
          </w:p>
        </w:tc>
        <w:tc>
          <w:tcPr>
            <w:tcW w:type="dxa" w:w="54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0.9880</w:t>
            </w:r>
          </w:p>
        </w:tc>
        <w:tc>
          <w:tcPr>
            <w:tcW w:type="dxa" w:w="624"/>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0.1142 ± 0.0165</w:t>
            </w:r>
          </w:p>
        </w:tc>
        <w:tc>
          <w:tcPr>
            <w:tcW w:type="dxa" w:w="54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0.1315</w:t>
            </w:r>
          </w:p>
        </w:tc>
      </w:tr>
      <w:tr>
        <w:trPr>
          <w:cantSplit/>
        </w:trPr>
        <w:tc>
          <w:tcPr>
            <w:tcW w:type="dxa" w:w="117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SCAFFOLD (Variance Reduction)</w:t>
            </w:r>
          </w:p>
        </w:tc>
        <w:tc>
          <w:tcPr>
            <w:tcW w:type="dxa" w:w="62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0.9135 ± 0.0028</w:t>
            </w:r>
          </w:p>
        </w:tc>
        <w:tc>
          <w:tcPr>
            <w:tcW w:type="dxa" w:w="54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0.8348</w:t>
            </w:r>
          </w:p>
        </w:tc>
        <w:tc>
          <w:tcPr>
            <w:tcW w:type="dxa" w:w="62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0.9988 ± 0.0004</w:t>
            </w:r>
          </w:p>
        </w:tc>
        <w:tc>
          <w:tcPr>
            <w:tcW w:type="dxa" w:w="54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0.9945</w:t>
            </w:r>
          </w:p>
        </w:tc>
        <w:tc>
          <w:tcPr>
            <w:tcW w:type="dxa" w:w="62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0.1210 ± 0.0140</w:t>
            </w:r>
          </w:p>
        </w:tc>
        <w:tc>
          <w:tcPr>
            <w:tcW w:type="dxa" w:w="54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0.1420</w:t>
            </w:r>
          </w:p>
        </w:tc>
      </w:tr>
      <w:tr>
        <w:trPr>
          <w:cantSplit/>
        </w:trPr>
        <w:tc>
          <w:tcPr>
            <w:tcW w:type="dxa" w:w="1170"/>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b/>
                <w:color w:val="1B365D"/>
                <w:sz w:val="15"/>
              </w:rPr>
              <w:t>FedProx (Proposed Reliability)</w:t>
            </w:r>
          </w:p>
        </w:tc>
        <w:tc>
          <w:tcPr>
            <w:tcW w:type="dxa" w:w="624"/>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0.9140 ± 0.0037</w:t>
            </w:r>
          </w:p>
        </w:tc>
        <w:tc>
          <w:tcPr>
            <w:tcW w:type="dxa" w:w="54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0.8343</w:t>
            </w:r>
          </w:p>
        </w:tc>
        <w:tc>
          <w:tcPr>
            <w:tcW w:type="dxa" w:w="624"/>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0.9995 ± 0.0002</w:t>
            </w:r>
          </w:p>
        </w:tc>
        <w:tc>
          <w:tcPr>
            <w:tcW w:type="dxa" w:w="54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0.9982</w:t>
            </w:r>
          </w:p>
        </w:tc>
        <w:tc>
          <w:tcPr>
            <w:tcW w:type="dxa" w:w="624"/>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0.1412 ± 0.0110</w:t>
            </w:r>
          </w:p>
        </w:tc>
        <w:tc>
          <w:tcPr>
            <w:tcW w:type="dxa" w:w="54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b/>
                <w:color w:val="1B365D"/>
                <w:sz w:val="15"/>
              </w:rPr>
              <w:t>0.1650</w:t>
            </w:r>
          </w:p>
        </w:tc>
      </w:tr>
      <w:tr>
        <w:trPr>
          <w:cantSplit/>
        </w:trPr>
        <w:tc>
          <w:tcPr>
            <w:tcW w:type="dxa" w:w="1170"/>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Centralized Parity Recovered</w:t>
            </w:r>
          </w:p>
        </w:tc>
        <w:tc>
          <w:tcPr>
            <w:tcW w:type="dxa" w:w="62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98.91%</w:t>
            </w:r>
          </w:p>
        </w:tc>
        <w:tc>
          <w:tcPr>
            <w:tcW w:type="dxa" w:w="54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w:t>
            </w:r>
          </w:p>
        </w:tc>
        <w:tc>
          <w:tcPr>
            <w:tcW w:type="dxa" w:w="62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99.95%</w:t>
            </w:r>
          </w:p>
        </w:tc>
        <w:tc>
          <w:tcPr>
            <w:tcW w:type="dxa" w:w="54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w:t>
            </w:r>
          </w:p>
        </w:tc>
        <w:tc>
          <w:tcPr>
            <w:tcW w:type="dxa" w:w="624"/>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90.69%</w:t>
            </w:r>
          </w:p>
        </w:tc>
        <w:tc>
          <w:tcPr>
            <w:tcW w:type="dxa" w:w="54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w:t>
            </w:r>
          </w:p>
        </w:tc>
      </w:tr>
    </w:tbl>
    <w:p>
      <w:pPr>
        <w:spacing w:after="80"/>
      </w:pPr>
    </w:p>
    <w:p>
      <w:pPr>
        <w:keepNext/>
        <w:spacing w:before="120" w:after="40"/>
        <w:jc w:val="center"/>
      </w:pPr>
      <w:r>
        <w:drawing>
          <wp:inline xmlns:a="http://schemas.openxmlformats.org/drawingml/2006/main" xmlns:pic="http://schemas.openxmlformats.org/drawingml/2006/picture">
            <wp:extent cx="2971800" cy="1129284"/>
            <wp:docPr id="6" name="Picture 6"/>
            <wp:cNvGraphicFramePr>
              <a:graphicFrameLocks noChangeAspect="1"/>
            </wp:cNvGraphicFramePr>
            <a:graphic>
              <a:graphicData uri="http://schemas.openxmlformats.org/drawingml/2006/picture">
                <pic:pic>
                  <pic:nvPicPr>
                    <pic:cNvPr id="0" name="federated_client_performance.png"/>
                    <pic:cNvPicPr/>
                  </pic:nvPicPr>
                  <pic:blipFill>
                    <a:blip r:embed="rId16"/>
                    <a:stretch>
                      <a:fillRect/>
                    </a:stretch>
                  </pic:blipFill>
                  <pic:spPr>
                    <a:xfrm>
                      <a:off x="0" y="0"/>
                      <a:ext cx="2971800" cy="1129284"/>
                    </a:xfrm>
                    <a:prstGeom prst="rect"/>
                  </pic:spPr>
                </pic:pic>
              </a:graphicData>
            </a:graphic>
          </wp:inline>
        </w:drawing>
      </w:r>
    </w:p>
    <w:p>
      <w:pPr>
        <w:spacing w:before="40" w:after="160"/>
        <w:jc w:val="both"/>
      </w:pPr>
      <w:r>
        <w:rPr>
          <w:rFonts w:ascii="Calibri" w:hAnsi="Calibri"/>
          <w:i/>
          <w:color w:val="2D3748"/>
          <w:sz w:val="17"/>
        </w:rPr>
        <w:t>Fig. 6: Federated fraud detection performance under non-IID skew on BankSim (K=4). (a) Per-client breakdown comparing isolated local slice, isolated on global stream (blind spot drop), and FedProx consensus; (b) Federation client sensitivity across network sizes K ∈ {2, 3, 4, 5}.</w:t>
      </w:r>
    </w:p>
    <w:p>
      <w:pPr>
        <w:spacing w:after="80" w:line="276" w:lineRule="auto"/>
        <w:jc w:val="both"/>
      </w:pPr>
      <w:r>
        <w:rPr>
          <w:rFonts w:ascii="Calibri" w:hAnsi="Calibri"/>
          <w:i w:val="0"/>
          <w:color w:val="2D3748"/>
          <w:sz w:val="19"/>
        </w:rPr>
        <w:t>Discussion: Under severe non-IID client skew, standard FedAvg allows large, low-fraud institutions (Client 0) to overpower specialized institutions. Size-weighted FedAvg degrades performance further because Client 0 holds 87.5% of total volume. Our proposed FedProx validation reliability weighting dynamically downweights uninformative consensus contributions, recovering 98.91% of centralized performance on BankSim and 99.95% on IBM AML without transferring raw customer records.</w:t>
      </w:r>
    </w:p>
    <w:p>
      <w:pPr>
        <w:keepNext/>
        <w:spacing w:before="160" w:after="40"/>
      </w:pPr>
      <w:r>
        <w:rPr>
          <w:rFonts w:ascii="Calibri" w:hAnsi="Calibri"/>
          <w:b/>
          <w:color w:val="2B6CB0"/>
          <w:sz w:val="21"/>
        </w:rPr>
        <w:t>v. Class-wise Analysis</w:t>
      </w:r>
    </w:p>
    <w:p>
      <w:pPr>
        <w:keepNext/>
        <w:spacing w:before="120" w:after="40"/>
      </w:pPr>
      <w:r>
        <w:rPr>
          <w:rFonts w:ascii="Calibri" w:hAnsi="Calibri"/>
          <w:b/>
          <w:color w:val="2D3748"/>
          <w:sz w:val="19"/>
        </w:rPr>
        <w:t>a. Confusion Matrix</w:t>
      </w:r>
    </w:p>
    <w:p>
      <w:pPr>
        <w:spacing w:after="80" w:line="276" w:lineRule="auto"/>
        <w:jc w:val="both"/>
      </w:pPr>
      <w:r>
        <w:rPr>
          <w:rFonts w:ascii="Calibri" w:hAnsi="Calibri"/>
          <w:i w:val="0"/>
          <w:color w:val="2D3748"/>
          <w:sz w:val="19"/>
        </w:rPr>
        <w:t>Fig. 7 illustrates the normalized and absolute contingency matrices evaluated on held-out test splits under frozen operational thresholds.</w:t>
      </w:r>
    </w:p>
    <w:p>
      <w:pPr>
        <w:keepNext/>
        <w:spacing w:before="120" w:after="40"/>
        <w:jc w:val="center"/>
      </w:pPr>
      <w:r>
        <w:drawing>
          <wp:inline xmlns:a="http://schemas.openxmlformats.org/drawingml/2006/main" xmlns:pic="http://schemas.openxmlformats.org/drawingml/2006/picture">
            <wp:extent cx="2971800" cy="931950"/>
            <wp:docPr id="7" name="Picture 7"/>
            <wp:cNvGraphicFramePr>
              <a:graphicFrameLocks noChangeAspect="1"/>
            </wp:cNvGraphicFramePr>
            <a:graphic>
              <a:graphicData uri="http://schemas.openxmlformats.org/drawingml/2006/picture">
                <pic:pic>
                  <pic:nvPicPr>
                    <pic:cNvPr id="0" name="confusion_matrices_all_datasets.png"/>
                    <pic:cNvPicPr/>
                  </pic:nvPicPr>
                  <pic:blipFill>
                    <a:blip r:embed="rId17"/>
                    <a:stretch>
                      <a:fillRect/>
                    </a:stretch>
                  </pic:blipFill>
                  <pic:spPr>
                    <a:xfrm>
                      <a:off x="0" y="0"/>
                      <a:ext cx="2971800" cy="931950"/>
                    </a:xfrm>
                    <a:prstGeom prst="rect"/>
                  </pic:spPr>
                </pic:pic>
              </a:graphicData>
            </a:graphic>
          </wp:inline>
        </w:drawing>
      </w:r>
    </w:p>
    <w:p>
      <w:pPr>
        <w:spacing w:before="40" w:after="160"/>
        <w:jc w:val="both"/>
      </w:pPr>
      <w:r>
        <w:rPr>
          <w:rFonts w:ascii="Calibri" w:hAnsi="Calibri"/>
          <w:i/>
          <w:color w:val="2D3748"/>
          <w:sz w:val="17"/>
        </w:rPr>
        <w:t>Fig. 7: Class-wise 2x2 confusion matrices evaluated on held-out test splits under frozen operational thresholds for Dataset 1 (BankSim), Dataset 2 (IBM AML), and Dataset 3 (SAP Würzburg).</w:t>
      </w:r>
    </w:p>
    <w:p>
      <w:pPr>
        <w:keepNext/>
        <w:spacing w:before="120" w:after="40"/>
      </w:pPr>
      <w:r>
        <w:rPr>
          <w:rFonts w:ascii="Calibri" w:hAnsi="Calibri"/>
          <w:b/>
          <w:color w:val="2D3748"/>
          <w:sz w:val="19"/>
        </w:rPr>
        <w:t>b. Table</w:t>
      </w:r>
    </w:p>
    <w:p>
      <w:pPr>
        <w:spacing w:after="80" w:line="276" w:lineRule="auto"/>
        <w:jc w:val="both"/>
      </w:pPr>
      <w:r>
        <w:rPr>
          <w:rFonts w:ascii="Calibri" w:hAnsi="Calibri"/>
          <w:i w:val="0"/>
          <w:color w:val="2D3748"/>
          <w:sz w:val="19"/>
        </w:rPr>
        <w:t>Table 8 provides a granular, class-wise performance breakdown (Class 0: Legitimate vs. Class 1: Fraudulent) across all three benchmark datasets.</w:t>
      </w:r>
    </w:p>
    <w:p>
      <w:pPr>
        <w:keepNext/>
        <w:spacing w:before="160" w:after="40"/>
      </w:pPr>
      <w:r>
        <w:rPr>
          <w:rFonts w:ascii="Calibri" w:hAnsi="Calibri"/>
          <w:b/>
          <w:color w:val="1B365D"/>
          <w:sz w:val="17"/>
        </w:rPr>
        <w:t>Table 8: Class-Wise Performance Metrics Across Datasets 1, 2, and 3.</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rPr>
          <w:tblHeader/>
          <w:cantSplit/>
        </w:trPr>
        <w:tc>
          <w:tcPr>
            <w:tcW w:type="dxa" w:w="1106"/>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Dataset</w:t>
            </w:r>
          </w:p>
        </w:tc>
        <w:tc>
          <w:tcPr>
            <w:tcW w:type="dxa" w:w="936"/>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Class Label</w:t>
            </w:r>
          </w:p>
        </w:tc>
        <w:tc>
          <w:tcPr>
            <w:tcW w:type="dxa" w:w="511"/>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Precision</w:t>
            </w:r>
          </w:p>
        </w:tc>
        <w:tc>
          <w:tcPr>
            <w:tcW w:type="dxa" w:w="511"/>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Recall</w:t>
            </w:r>
          </w:p>
        </w:tc>
        <w:tc>
          <w:tcPr>
            <w:tcW w:type="dxa" w:w="511"/>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F1-Score</w:t>
            </w:r>
          </w:p>
        </w:tc>
        <w:tc>
          <w:tcPr>
            <w:tcW w:type="dxa" w:w="596"/>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Support</w:t>
            </w:r>
          </w:p>
        </w:tc>
        <w:tc>
          <w:tcPr>
            <w:tcW w:type="dxa" w:w="511"/>
            <w:vAlign w:val="center"/>
            <w:shd w:fill="1B365D"/>
            <w:tcBorders>
              <w:top w:val="single" w:sz="4" w:space="0" w:color="CBD5E0"/>
              <w:left w:val="none"/>
              <w:bottom w:val="double" w:sz="12" w:space="0" w:color="1B365D"/>
              <w:right w:val="none"/>
            </w:tcBorders>
            <w:tcMar>
              <w:top w:w="50" w:type="dxa"/>
              <w:left w:w="40" w:type="dxa"/>
              <w:bottom w:w="50" w:type="dxa"/>
              <w:right w:w="40" w:type="dxa"/>
            </w:tcMar>
          </w:tcPr>
          <w:p>
            <w:pPr>
              <w:jc w:val="center"/>
            </w:pPr>
            <w:r>
              <w:rPr>
                <w:rFonts w:ascii="Calibri" w:hAnsi="Calibri"/>
                <w:b/>
                <w:color w:val="FFFFFF"/>
                <w:sz w:val="15"/>
              </w:rPr>
              <w:t>PR-AUC</w:t>
            </w:r>
          </w:p>
        </w:tc>
      </w:tr>
      <w:tr>
        <w:trPr>
          <w:cantSplit/>
        </w:trPr>
        <w:tc>
          <w:tcPr>
            <w:tcW w:type="dxa" w:w="110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Dataset 1 (BankSim)</w:t>
            </w:r>
          </w:p>
        </w:tc>
        <w:tc>
          <w:tcPr>
            <w:tcW w:type="dxa" w:w="93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Class 0 (Non-Fraud)</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0.9980</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0.9988</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0.9984</w:t>
            </w:r>
          </w:p>
        </w:tc>
        <w:tc>
          <w:tcPr>
            <w:tcW w:type="dxa" w:w="59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120,958</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0.9999</w:t>
            </w:r>
          </w:p>
        </w:tc>
      </w:tr>
      <w:tr>
        <w:trPr>
          <w:cantSplit/>
        </w:trPr>
        <w:tc>
          <w:tcPr>
            <w:tcW w:type="dxa" w:w="110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Dataset 1 (BankSim)</w:t>
            </w:r>
          </w:p>
        </w:tc>
        <w:tc>
          <w:tcPr>
            <w:tcW w:type="dxa" w:w="93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Class 1 (Fraud)</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0.8792</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0.8212</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0.8492</w:t>
            </w:r>
          </w:p>
        </w:tc>
        <w:tc>
          <w:tcPr>
            <w:tcW w:type="dxa" w:w="59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1,320</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0.9364</w:t>
            </w:r>
          </w:p>
        </w:tc>
      </w:tr>
      <w:tr>
        <w:trPr>
          <w:cantSplit/>
        </w:trPr>
        <w:tc>
          <w:tcPr>
            <w:tcW w:type="dxa" w:w="110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Dataset 1 (BankSim)</w:t>
            </w:r>
          </w:p>
        </w:tc>
        <w:tc>
          <w:tcPr>
            <w:tcW w:type="dxa" w:w="93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Macro Average</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0.9386</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0.9100</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0.9238</w:t>
            </w:r>
          </w:p>
        </w:tc>
        <w:tc>
          <w:tcPr>
            <w:tcW w:type="dxa" w:w="59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122,278</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w:t>
            </w:r>
          </w:p>
        </w:tc>
      </w:tr>
      <w:tr>
        <w:trPr>
          <w:cantSplit/>
        </w:trPr>
        <w:tc>
          <w:tcPr>
            <w:tcW w:type="dxa" w:w="110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Dataset 1 (BankSim)</w:t>
            </w:r>
          </w:p>
        </w:tc>
        <w:tc>
          <w:tcPr>
            <w:tcW w:type="dxa" w:w="93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Weighted Average</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0.9968</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0.9968</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0.9968</w:t>
            </w:r>
          </w:p>
        </w:tc>
        <w:tc>
          <w:tcPr>
            <w:tcW w:type="dxa" w:w="59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122,278</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w:t>
            </w:r>
          </w:p>
        </w:tc>
      </w:tr>
      <w:tr>
        <w:trPr>
          <w:cantSplit/>
        </w:trPr>
        <w:tc>
          <w:tcPr>
            <w:tcW w:type="dxa" w:w="110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Dataset 2 (IBM AML)</w:t>
            </w:r>
          </w:p>
        </w:tc>
        <w:tc>
          <w:tcPr>
            <w:tcW w:type="dxa" w:w="93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Class 0 (Non-Fraud)</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9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265,822</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r>
      <w:tr>
        <w:trPr>
          <w:cantSplit/>
        </w:trPr>
        <w:tc>
          <w:tcPr>
            <w:tcW w:type="dxa" w:w="110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Dataset 2 (IBM AML)</w:t>
            </w:r>
          </w:p>
        </w:tc>
        <w:tc>
          <w:tcPr>
            <w:tcW w:type="dxa" w:w="93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Class 1 (Fraud)</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9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377</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r>
      <w:tr>
        <w:trPr>
          <w:cantSplit/>
        </w:trPr>
        <w:tc>
          <w:tcPr>
            <w:tcW w:type="dxa" w:w="110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Dataset 2 (IBM AML)</w:t>
            </w:r>
          </w:p>
        </w:tc>
        <w:tc>
          <w:tcPr>
            <w:tcW w:type="dxa" w:w="93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Macro Average</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9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266,199</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w:t>
            </w:r>
          </w:p>
        </w:tc>
      </w:tr>
      <w:tr>
        <w:trPr>
          <w:cantSplit/>
        </w:trPr>
        <w:tc>
          <w:tcPr>
            <w:tcW w:type="dxa" w:w="110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Dataset 2 (IBM AML)</w:t>
            </w:r>
          </w:p>
        </w:tc>
        <w:tc>
          <w:tcPr>
            <w:tcW w:type="dxa" w:w="93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Weighted Average</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1.0000</w:t>
            </w:r>
          </w:p>
        </w:tc>
        <w:tc>
          <w:tcPr>
            <w:tcW w:type="dxa" w:w="59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266,199</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w:t>
            </w:r>
          </w:p>
        </w:tc>
      </w:tr>
      <w:tr>
        <w:trPr>
          <w:cantSplit/>
        </w:trPr>
        <w:tc>
          <w:tcPr>
            <w:tcW w:type="dxa" w:w="110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Dataset 3 (SAP Würzburg)</w:t>
            </w:r>
          </w:p>
        </w:tc>
        <w:tc>
          <w:tcPr>
            <w:tcW w:type="dxa" w:w="93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Class 0 (Non-Fraud)</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0.9996</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0.9987</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0.9991</w:t>
            </w:r>
          </w:p>
        </w:tc>
        <w:tc>
          <w:tcPr>
            <w:tcW w:type="dxa" w:w="59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40,114</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0.9999</w:t>
            </w:r>
          </w:p>
        </w:tc>
      </w:tr>
      <w:tr>
        <w:trPr>
          <w:cantSplit/>
        </w:trPr>
        <w:tc>
          <w:tcPr>
            <w:tcW w:type="dxa" w:w="110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Dataset 3 (SAP Würzburg)</w:t>
            </w:r>
          </w:p>
        </w:tc>
        <w:tc>
          <w:tcPr>
            <w:tcW w:type="dxa" w:w="93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Class 1 (Fraud)</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0.1333</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0.3200</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0.1882</w:t>
            </w:r>
          </w:p>
        </w:tc>
        <w:tc>
          <w:tcPr>
            <w:tcW w:type="dxa" w:w="59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25</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0.1557</w:t>
            </w:r>
          </w:p>
        </w:tc>
      </w:tr>
      <w:tr>
        <w:trPr>
          <w:cantSplit/>
        </w:trPr>
        <w:tc>
          <w:tcPr>
            <w:tcW w:type="dxa" w:w="110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Dataset 3 (SAP Würzburg)</w:t>
            </w:r>
          </w:p>
        </w:tc>
        <w:tc>
          <w:tcPr>
            <w:tcW w:type="dxa" w:w="93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Macro Average</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0.5665</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0.6594</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0.5937</w:t>
            </w:r>
          </w:p>
        </w:tc>
        <w:tc>
          <w:tcPr>
            <w:tcW w:type="dxa" w:w="596"/>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40,139</w:t>
            </w:r>
          </w:p>
        </w:tc>
        <w:tc>
          <w:tcPr>
            <w:tcW w:type="dxa" w:w="511"/>
            <w:vAlign w:val="center"/>
            <w:shd w:fill="F7FAFC"/>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w:t>
            </w:r>
          </w:p>
        </w:tc>
      </w:tr>
      <w:tr>
        <w:trPr>
          <w:cantSplit/>
        </w:trPr>
        <w:tc>
          <w:tcPr>
            <w:tcW w:type="dxa" w:w="110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left"/>
            </w:pPr>
            <w:r>
              <w:rPr>
                <w:rFonts w:ascii="Calibri" w:hAnsi="Calibri"/>
                <w:color w:val="2D3748"/>
                <w:sz w:val="15"/>
              </w:rPr>
              <w:t>Dataset 3 (SAP Würzburg)</w:t>
            </w:r>
          </w:p>
        </w:tc>
        <w:tc>
          <w:tcPr>
            <w:tcW w:type="dxa" w:w="93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Weighted Average</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0.9990</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0.9983</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0.9986</w:t>
            </w:r>
          </w:p>
        </w:tc>
        <w:tc>
          <w:tcPr>
            <w:tcW w:type="dxa" w:w="596"/>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40,139</w:t>
            </w:r>
          </w:p>
        </w:tc>
        <w:tc>
          <w:tcPr>
            <w:tcW w:type="dxa" w:w="511"/>
            <w:vAlign w:val="center"/>
            <w:shd w:fill="FFFFFF"/>
            <w:tcBorders>
              <w:top w:val="single" w:sz="4" w:space="0" w:color="CBD5E0"/>
              <w:left w:val="none"/>
              <w:bottom w:val="single" w:sz="4" w:space="0" w:color="CBD5E0"/>
              <w:right w:val="none"/>
            </w:tcBorders>
            <w:tcMar>
              <w:top w:w="50" w:type="dxa"/>
              <w:left w:w="40" w:type="dxa"/>
              <w:bottom w:w="50" w:type="dxa"/>
              <w:right w:w="40" w:type="dxa"/>
            </w:tcMar>
          </w:tcPr>
          <w:p>
            <w:pPr>
              <w:jc w:val="center"/>
            </w:pPr>
            <w:r>
              <w:rPr>
                <w:rFonts w:ascii="Calibri" w:hAnsi="Calibri"/>
                <w:color w:val="2D3748"/>
                <w:sz w:val="15"/>
              </w:rPr>
              <w:t>—</w:t>
            </w:r>
          </w:p>
        </w:tc>
      </w:tr>
    </w:tbl>
    <w:p>
      <w:pPr>
        <w:spacing w:after="80"/>
      </w:pPr>
    </w:p>
    <w:p>
      <w:pPr>
        <w:keepNext/>
        <w:spacing w:before="160" w:after="40"/>
      </w:pPr>
      <w:r>
        <w:rPr>
          <w:rFonts w:ascii="Calibri" w:hAnsi="Calibri"/>
          <w:b/>
          <w:color w:val="2B6CB0"/>
          <w:sz w:val="21"/>
        </w:rPr>
        <w:t>vi. Explainable results</w:t>
      </w:r>
    </w:p>
    <w:p>
      <w:pPr>
        <w:spacing w:after="80" w:line="276" w:lineRule="auto"/>
        <w:jc w:val="both"/>
      </w:pPr>
      <w:r>
        <w:rPr>
          <w:rFonts w:ascii="Calibri" w:hAnsi="Calibri"/>
          <w:i w:val="0"/>
          <w:color w:val="2D3748"/>
          <w:sz w:val="19"/>
        </w:rPr>
        <w:t>We analyze exact TreeSHAP feature attributions in log-odds margin space across all three datasets (Fig. 8):</w:t>
      </w:r>
    </w:p>
    <w:p>
      <w:pPr>
        <w:keepNext/>
        <w:spacing w:before="120" w:after="40"/>
        <w:jc w:val="center"/>
      </w:pPr>
      <w:r>
        <w:drawing>
          <wp:inline xmlns:a="http://schemas.openxmlformats.org/drawingml/2006/main" xmlns:pic="http://schemas.openxmlformats.org/drawingml/2006/picture">
            <wp:extent cx="2971800" cy="1733550"/>
            <wp:docPr id="8" name="Picture 8"/>
            <wp:cNvGraphicFramePr>
              <a:graphicFrameLocks noChangeAspect="1"/>
            </wp:cNvGraphicFramePr>
            <a:graphic>
              <a:graphicData uri="http://schemas.openxmlformats.org/drawingml/2006/picture">
                <pic:pic>
                  <pic:nvPicPr>
                    <pic:cNvPr id="0" name="shap_summary_waterfall.png"/>
                    <pic:cNvPicPr/>
                  </pic:nvPicPr>
                  <pic:blipFill>
                    <a:blip r:embed="rId18"/>
                    <a:stretch>
                      <a:fillRect/>
                    </a:stretch>
                  </pic:blipFill>
                  <pic:spPr>
                    <a:xfrm>
                      <a:off x="0" y="0"/>
                      <a:ext cx="2971800" cy="1733550"/>
                    </a:xfrm>
                    <a:prstGeom prst="rect"/>
                  </pic:spPr>
                </pic:pic>
              </a:graphicData>
            </a:graphic>
          </wp:inline>
        </w:drawing>
      </w:r>
    </w:p>
    <w:p>
      <w:pPr>
        <w:spacing w:before="40" w:after="160"/>
        <w:jc w:val="both"/>
      </w:pPr>
      <w:r>
        <w:rPr>
          <w:rFonts w:ascii="Calibri" w:hAnsi="Calibri"/>
          <w:i/>
          <w:color w:val="2D3748"/>
          <w:sz w:val="17"/>
        </w:rPr>
        <w:t>Fig. 8: Global feature attributions computed via exact TreeSHAP in log-odds margin space on BankSim. Amount-scale and short-term degree features exert the largest impact on predicted risk, whereas cycle features carry negligible attribution (&lt;0.005).</w:t>
      </w:r>
    </w:p>
    <w:p>
      <w:pPr>
        <w:keepNext/>
        <w:spacing w:before="120" w:after="40"/>
      </w:pPr>
      <w:r>
        <w:rPr>
          <w:rFonts w:ascii="Calibri" w:hAnsi="Calibri"/>
          <w:b/>
          <w:color w:val="2D3748"/>
          <w:sz w:val="19"/>
        </w:rPr>
        <w:t>Dataset 1 (BankSim) Attribution</w:t>
      </w:r>
    </w:p>
    <w:p>
      <w:pPr>
        <w:spacing w:after="80" w:line="276" w:lineRule="auto"/>
        <w:jc w:val="both"/>
      </w:pPr>
      <w:r>
        <w:rPr>
          <w:rFonts w:ascii="Calibri" w:hAnsi="Calibri"/>
          <w:i w:val="0"/>
          <w:color w:val="2D3748"/>
          <w:sz w:val="19"/>
        </w:rPr>
        <w:t>In BankSim, predicted fraud risk is driven by short-term degree bursts and transaction amount scale:</w:t>
      </w:r>
    </w:p>
    <w:p>
      <w:pPr>
        <w:pStyle w:val="ListBullet"/>
        <w:spacing w:after="60" w:line="276" w:lineRule="auto"/>
        <w:jc w:val="both"/>
      </w:pPr>
      <w:r>
        <w:rPr>
          <w:rFonts w:ascii="Calibri" w:hAnsi="Calibri"/>
          <w:b/>
          <w:color w:val="2D3748"/>
          <w:sz w:val="19"/>
        </w:rPr>
        <w:t xml:space="preserve">1. dest_in_degree (+0.5199 gain share): </w:t>
      </w:r>
      <w:r>
        <w:rPr>
          <w:rFonts w:ascii="Calibri" w:hAnsi="Calibri"/>
          <w:color w:val="2D3748"/>
          <w:sz w:val="19"/>
        </w:rPr>
        <w:t>Sudden surge in transaction volume directed into a specific merchant.</w:t>
      </w:r>
    </w:p>
    <w:p>
      <w:pPr>
        <w:pStyle w:val="ListBullet"/>
        <w:spacing w:after="60" w:line="276" w:lineRule="auto"/>
        <w:jc w:val="both"/>
      </w:pPr>
      <w:r>
        <w:rPr>
          <w:rFonts w:ascii="Calibri" w:hAnsi="Calibri"/>
          <w:b/>
          <w:color w:val="2D3748"/>
          <w:sz w:val="19"/>
        </w:rPr>
        <w:t xml:space="preserve">2. fan_in (+0.0908 gain share): </w:t>
      </w:r>
      <w:r>
        <w:rPr>
          <w:rFonts w:ascii="Calibri" w:hAnsi="Calibri"/>
          <w:color w:val="2D3748"/>
          <w:sz w:val="19"/>
        </w:rPr>
        <w:t>Unusual diversity of distinct customers paying the same counterparty within the 7-day trailing window.</w:t>
      </w:r>
    </w:p>
    <w:p>
      <w:pPr>
        <w:pStyle w:val="ListBullet"/>
        <w:spacing w:after="60" w:line="276" w:lineRule="auto"/>
        <w:jc w:val="both"/>
      </w:pPr>
      <w:r>
        <w:rPr>
          <w:rFonts w:ascii="Calibri" w:hAnsi="Calibri"/>
          <w:b/>
          <w:color w:val="2D3748"/>
          <w:sz w:val="19"/>
        </w:rPr>
        <w:t xml:space="preserve">3. log_amount (+0.43 mean |SHAP|): </w:t>
      </w:r>
      <w:r>
        <w:rPr>
          <w:rFonts w:ascii="Calibri" w:hAnsi="Calibri"/>
          <w:color w:val="2D3748"/>
          <w:sz w:val="19"/>
        </w:rPr>
        <w:t>Statistically elevated monetary amounts exceeding customer historical baselines.</w:t>
      </w:r>
    </w:p>
    <w:p>
      <w:pPr>
        <w:pStyle w:val="ListBullet"/>
        <w:spacing w:after="60" w:line="276" w:lineRule="auto"/>
        <w:jc w:val="both"/>
      </w:pPr>
      <w:r>
        <w:rPr>
          <w:rFonts w:ascii="Calibri" w:hAnsi="Calibri"/>
          <w:b/>
          <w:color w:val="2D3748"/>
          <w:sz w:val="19"/>
        </w:rPr>
        <w:t xml:space="preserve">4. tgn_s2 / tgn_d14 (+0.08 mean |SHAP|): </w:t>
      </w:r>
      <w:r>
        <w:rPr>
          <w:rFonts w:ascii="Calibri" w:hAnsi="Calibri"/>
          <w:color w:val="2D3748"/>
          <w:sz w:val="19"/>
        </w:rPr>
        <w:t>Latent dynamic interaction states capturing counterparty velocity shifts.</w:t>
      </w:r>
    </w:p>
    <w:p>
      <w:pPr>
        <w:keepNext/>
        <w:spacing w:before="120" w:after="40"/>
      </w:pPr>
      <w:r>
        <w:rPr>
          <w:rFonts w:ascii="Calibri" w:hAnsi="Calibri"/>
          <w:b/>
          <w:color w:val="2D3748"/>
          <w:sz w:val="19"/>
        </w:rPr>
        <w:t>Dataset 2 (IBM AML) Attribution</w:t>
      </w:r>
    </w:p>
    <w:p>
      <w:pPr>
        <w:spacing w:after="80" w:line="276" w:lineRule="auto"/>
        <w:jc w:val="both"/>
      </w:pPr>
      <w:r>
        <w:rPr>
          <w:rFonts w:ascii="Calibri" w:hAnsi="Calibri"/>
          <w:i w:val="0"/>
          <w:color w:val="2D3748"/>
          <w:sz w:val="19"/>
        </w:rPr>
        <w:t>In IBM AML, amount-derived lapping features account for 96% of tree decisions:</w:t>
      </w:r>
    </w:p>
    <w:p>
      <w:pPr>
        <w:pStyle w:val="ListBullet"/>
        <w:spacing w:after="60" w:line="276" w:lineRule="auto"/>
        <w:jc w:val="both"/>
      </w:pPr>
      <w:r>
        <w:rPr>
          <w:rFonts w:ascii="Calibri" w:hAnsi="Calibri"/>
          <w:b/>
          <w:color w:val="2D3748"/>
          <w:sz w:val="19"/>
        </w:rPr>
        <w:t xml:space="preserve">1. lap_out_recur (+0.5397 gain share): </w:t>
      </w:r>
      <w:r>
        <w:rPr>
          <w:rFonts w:ascii="Calibri" w:hAnsi="Calibri"/>
          <w:color w:val="2D3748"/>
          <w:sz w:val="19"/>
        </w:rPr>
        <w:t>Systematic recurrence of identical transaction amounts sent across counterparties.</w:t>
      </w:r>
    </w:p>
    <w:p>
      <w:pPr>
        <w:pStyle w:val="ListBullet"/>
        <w:spacing w:after="60" w:line="276" w:lineRule="auto"/>
        <w:jc w:val="both"/>
      </w:pPr>
      <w:r>
        <w:rPr>
          <w:rFonts w:ascii="Calibri" w:hAnsi="Calibri"/>
          <w:b/>
          <w:color w:val="2D3748"/>
          <w:sz w:val="19"/>
        </w:rPr>
        <w:t xml:space="preserve">2. lap_out_payees (+0.4200 gain share): </w:t>
      </w:r>
      <w:r>
        <w:rPr>
          <w:rFonts w:ascii="Calibri" w:hAnsi="Calibri"/>
          <w:color w:val="2D3748"/>
          <w:sz w:val="19"/>
        </w:rPr>
        <w:t>Fan-out structuring (smurfing) across multiple destination mules.</w:t>
      </w:r>
    </w:p>
    <w:p>
      <w:pPr>
        <w:pStyle w:val="ListBullet"/>
        <w:spacing w:after="60" w:line="276" w:lineRule="auto"/>
        <w:jc w:val="both"/>
      </w:pPr>
      <w:r>
        <w:rPr>
          <w:rFonts w:ascii="Calibri" w:hAnsi="Calibri"/>
          <w:b/>
          <w:color w:val="2D3748"/>
          <w:sz w:val="19"/>
        </w:rPr>
        <w:t xml:space="preserve">3. time_since_prev_src: </w:t>
      </w:r>
      <w:r>
        <w:rPr>
          <w:rFonts w:ascii="Calibri" w:hAnsi="Calibri"/>
          <w:color w:val="2D3748"/>
          <w:sz w:val="19"/>
        </w:rPr>
        <w:t>High-frequency transaction bursts violating typical business payment intervals.</w:t>
      </w:r>
    </w:p>
    <w:p>
      <w:pPr>
        <w:keepNext/>
        <w:spacing w:before="120" w:after="40"/>
      </w:pPr>
      <w:r>
        <w:rPr>
          <w:rFonts w:ascii="Calibri" w:hAnsi="Calibri"/>
          <w:b/>
          <w:color w:val="2D3748"/>
          <w:sz w:val="19"/>
        </w:rPr>
        <w:t>Dataset 3 (SAP Würzburg) Attribution</w:t>
      </w:r>
    </w:p>
    <w:p>
      <w:pPr>
        <w:spacing w:after="80" w:line="276" w:lineRule="auto"/>
        <w:jc w:val="both"/>
      </w:pPr>
      <w:r>
        <w:rPr>
          <w:rFonts w:ascii="Calibri" w:hAnsi="Calibri"/>
          <w:i w:val="0"/>
          <w:color w:val="2D3748"/>
          <w:sz w:val="19"/>
        </w:rPr>
        <w:t>In SAP Würzburg, relational accounting document types and ledger classifications govern risk:</w:t>
      </w:r>
    </w:p>
    <w:p>
      <w:pPr>
        <w:pStyle w:val="ListBullet"/>
        <w:spacing w:after="60" w:line="276" w:lineRule="auto"/>
        <w:jc w:val="both"/>
      </w:pPr>
      <w:r>
        <w:rPr>
          <w:rFonts w:ascii="Calibri" w:hAnsi="Calibri"/>
          <w:b/>
          <w:color w:val="2D3748"/>
          <w:sz w:val="19"/>
        </w:rPr>
        <w:t xml:space="preserve">1. tx_type_Materialzugang (SHAP +1.16): </w:t>
      </w:r>
      <w:r>
        <w:rPr>
          <w:rFonts w:ascii="Calibri" w:hAnsi="Calibri"/>
          <w:color w:val="2D3748"/>
          <w:sz w:val="19"/>
        </w:rPr>
        <w:t>High-risk goods receipt postings without matching purchase orders.</w:t>
      </w:r>
    </w:p>
    <w:p>
      <w:pPr>
        <w:pStyle w:val="ListBullet"/>
        <w:spacing w:after="60" w:line="276" w:lineRule="auto"/>
        <w:jc w:val="both"/>
      </w:pPr>
      <w:r>
        <w:rPr>
          <w:rFonts w:ascii="Calibri" w:hAnsi="Calibri"/>
          <w:b/>
          <w:color w:val="2D3748"/>
          <w:sz w:val="19"/>
        </w:rPr>
        <w:t xml:space="preserve">2. account_type_D (SHAP +0.48): </w:t>
      </w:r>
      <w:r>
        <w:rPr>
          <w:rFonts w:ascii="Calibri" w:hAnsi="Calibri"/>
          <w:color w:val="2D3748"/>
          <w:sz w:val="19"/>
        </w:rPr>
        <w:t>Direct vendor/customer balance sheet line postings bypassing automated subledgers.</w:t>
      </w:r>
    </w:p>
    <w:p>
      <w:pPr>
        <w:pStyle w:val="ListBullet"/>
        <w:spacing w:after="60" w:line="276" w:lineRule="auto"/>
        <w:jc w:val="both"/>
      </w:pPr>
      <w:r>
        <w:rPr>
          <w:rFonts w:ascii="Calibri" w:hAnsi="Calibri"/>
          <w:b/>
          <w:color w:val="2D3748"/>
          <w:sz w:val="19"/>
        </w:rPr>
        <w:t xml:space="preserve">3. fan_in (SHAP +0.30): </w:t>
      </w:r>
      <w:r>
        <w:rPr>
          <w:rFonts w:ascii="Calibri" w:hAnsi="Calibri"/>
          <w:color w:val="2D3748"/>
          <w:sz w:val="19"/>
        </w:rPr>
        <w:t>Mass settlement accounts aggregating anomalous general ledger vouchers.</w:t>
      </w:r>
    </w:p>
    <w:p>
      <w:pPr>
        <w:keepNext/>
        <w:spacing w:before="240" w:after="60"/>
      </w:pPr>
      <w:r>
        <w:rPr>
          <w:rFonts w:ascii="Calibri" w:hAnsi="Calibri"/>
          <w:b/>
          <w:color w:val="1B365D"/>
          <w:sz w:val="23"/>
        </w:rPr>
        <w:t>5. Production System Verification and Enterprise Audit Console</w:t>
      </w:r>
    </w:p>
    <w:p>
      <w:pPr>
        <w:spacing w:after="80" w:line="276" w:lineRule="auto"/>
        <w:jc w:val="both"/>
      </w:pPr>
      <w:r>
        <w:rPr>
          <w:rFonts w:ascii="Calibri" w:hAnsi="Calibri"/>
          <w:i w:val="0"/>
          <w:color w:val="2D3748"/>
          <w:sz w:val="19"/>
        </w:rPr>
        <w:t>To evaluate operational deployability, we integrated the model into a production Procure-to-Pay (P2P) ERP simulation with an interactive forensic audit console (Fig. 9).</w:t>
      </w:r>
    </w:p>
    <w:p>
      <w:pPr>
        <w:keepNext/>
        <w:spacing w:before="120" w:after="40"/>
        <w:jc w:val="center"/>
      </w:pPr>
      <w:r>
        <w:drawing>
          <wp:inline xmlns:a="http://schemas.openxmlformats.org/drawingml/2006/main" xmlns:pic="http://schemas.openxmlformats.org/drawingml/2006/picture">
            <wp:extent cx="2971800" cy="1828800"/>
            <wp:docPr id="9" name="Picture 9"/>
            <wp:cNvGraphicFramePr>
              <a:graphicFrameLocks noChangeAspect="1"/>
            </wp:cNvGraphicFramePr>
            <a:graphic>
              <a:graphicData uri="http://schemas.openxmlformats.org/drawingml/2006/picture">
                <pic:pic>
                  <pic:nvPicPr>
                    <pic:cNvPr id="0" name="system_architecture.png"/>
                    <pic:cNvPicPr/>
                  </pic:nvPicPr>
                  <pic:blipFill>
                    <a:blip r:embed="rId19"/>
                    <a:stretch>
                      <a:fillRect/>
                    </a:stretch>
                  </pic:blipFill>
                  <pic:spPr>
                    <a:xfrm>
                      <a:off x="0" y="0"/>
                      <a:ext cx="2971800" cy="1828800"/>
                    </a:xfrm>
                    <a:prstGeom prst="rect"/>
                  </pic:spPr>
                </pic:pic>
              </a:graphicData>
            </a:graphic>
          </wp:inline>
        </w:drawing>
      </w:r>
    </w:p>
    <w:p>
      <w:pPr>
        <w:spacing w:before="40" w:after="160"/>
        <w:jc w:val="both"/>
      </w:pPr>
      <w:r>
        <w:rPr>
          <w:rFonts w:ascii="Calibri" w:hAnsi="Calibri"/>
          <w:i/>
          <w:color w:val="2D3748"/>
          <w:sz w:val="17"/>
        </w:rPr>
        <w:t>Fig. 9: Production system architecture: FastAPI transactional ingestion pipeline, in-memory sliding-window streaming topology engine, Neo4j visual graph audit cluster, and React continuous monitoring console.</w:t>
      </w:r>
    </w:p>
    <w:p>
      <w:pPr>
        <w:spacing w:after="80" w:line="276" w:lineRule="auto"/>
        <w:jc w:val="both"/>
      </w:pPr>
      <w:r>
        <w:rPr>
          <w:rFonts w:ascii="Calibri" w:hAnsi="Calibri"/>
          <w:i w:val="0"/>
          <w:color w:val="2D3748"/>
          <w:sz w:val="19"/>
        </w:rPr>
        <w:t>Serving Parity and Latency: Benchmark latency tests demonstrate that the streaming topology engine evaluates all 13 temporal features in under 2.45ms per transaction on commodity hardware. Feature calculations computed during live streaming match offline batch computations with 0.0000 mean absolute error (Fig. 10).</w:t>
      </w:r>
    </w:p>
    <w:p>
      <w:pPr>
        <w:keepNext/>
        <w:spacing w:before="120" w:after="40"/>
        <w:jc w:val="center"/>
      </w:pPr>
      <w:r>
        <w:drawing>
          <wp:inline xmlns:a="http://schemas.openxmlformats.org/drawingml/2006/main" xmlns:pic="http://schemas.openxmlformats.org/drawingml/2006/picture">
            <wp:extent cx="2971800" cy="1545336"/>
            <wp:docPr id="10" name="Picture 10"/>
            <wp:cNvGraphicFramePr>
              <a:graphicFrameLocks noChangeAspect="1"/>
            </wp:cNvGraphicFramePr>
            <a:graphic>
              <a:graphicData uri="http://schemas.openxmlformats.org/drawingml/2006/picture">
                <pic:pic>
                  <pic:nvPicPr>
                    <pic:cNvPr id="0" name="online_vs_champion.png"/>
                    <pic:cNvPicPr/>
                  </pic:nvPicPr>
                  <pic:blipFill>
                    <a:blip r:embed="rId20"/>
                    <a:stretch>
                      <a:fillRect/>
                    </a:stretch>
                  </pic:blipFill>
                  <pic:spPr>
                    <a:xfrm>
                      <a:off x="0" y="0"/>
                      <a:ext cx="2971800" cy="1545336"/>
                    </a:xfrm>
                    <a:prstGeom prst="rect"/>
                  </pic:spPr>
                </pic:pic>
              </a:graphicData>
            </a:graphic>
          </wp:inline>
        </w:drawing>
      </w:r>
    </w:p>
    <w:p>
      <w:pPr>
        <w:spacing w:before="40" w:after="160"/>
        <w:jc w:val="both"/>
      </w:pPr>
      <w:r>
        <w:rPr>
          <w:rFonts w:ascii="Calibri" w:hAnsi="Calibri"/>
          <w:i/>
          <w:color w:val="2D3748"/>
          <w:sz w:val="17"/>
        </w:rPr>
        <w:t>Fig. 10: Online streaming vs. offline champion feature parity verification (MAE = 0.0000) and inference latency distribution (&lt;2.5ms at 99th percentile).</w:t>
      </w:r>
    </w:p>
    <w:p>
      <w:pPr>
        <w:spacing w:after="80" w:line="276" w:lineRule="auto"/>
        <w:jc w:val="both"/>
      </w:pPr>
      <w:r>
        <w:rPr>
          <w:rFonts w:ascii="Calibri" w:hAnsi="Calibri"/>
          <w:i w:val="0"/>
          <w:color w:val="2D3748"/>
          <w:sz w:val="19"/>
        </w:rPr>
        <w:t>Database-Enforced Financial Invariants: The production ledger enforces four immutable accounting invariants: (1) Strict double-entry balance (∑ Debits ≡ ∑ Credits); (2) Segregation of Duties (SoD) enforcement (creator ≠ approver); (3) Three-way match verification (Purchase Order, Goods Receipt, and Invoice amounts match); and (4) Non-reversibility of posted vouchers.</w:t>
      </w:r>
    </w:p>
    <w:p>
      <w:pPr>
        <w:keepNext/>
        <w:spacing w:before="240" w:after="60"/>
      </w:pPr>
      <w:r>
        <w:rPr>
          <w:rFonts w:ascii="Calibri" w:hAnsi="Calibri"/>
          <w:b/>
          <w:color w:val="1B365D"/>
          <w:sz w:val="23"/>
        </w:rPr>
        <w:t>6. Conclusion</w:t>
      </w:r>
    </w:p>
    <w:p>
      <w:pPr>
        <w:spacing w:after="80" w:line="276" w:lineRule="auto"/>
        <w:jc w:val="both"/>
      </w:pPr>
      <w:r>
        <w:rPr>
          <w:rFonts w:ascii="Calibri" w:hAnsi="Calibri"/>
          <w:i w:val="0"/>
          <w:color w:val="2D3748"/>
          <w:sz w:val="19"/>
        </w:rPr>
        <w:t>This paper presented the Self-Auditing Ledger: a leakage-free temporal graph topology framework for financial fraud detection. Through strict within-dataset ablation across three diverse benchmarks, we demonstrated that graph structure is not a universal panacea: it delivers substantial value on bipartite and multi-hop networks (+11.7% PR-AUC on BankSim, +213% on synthetic ERP), is redundant on amount-saturated AML streams, and degrades performance on enterprise general ledgers (-54.6%) unless paired with tabular account metadata. By enforcing a read-then-insert execution invariant, exact margin-space TreeSHAP explainability, and privacy-preserving FedProx consensus recovering 98.91% of centralized accuracy, our framework bridges the gap between academic graph learning and continuous forensic auditing.</w:t>
      </w:r>
    </w:p>
    <w:p>
      <w:pPr>
        <w:keepNext/>
        <w:spacing w:before="240" w:after="60"/>
      </w:pPr>
      <w:r>
        <w:rPr>
          <w:rFonts w:ascii="Calibri" w:hAnsi="Calibri"/>
          <w:b/>
          <w:color w:val="1B365D"/>
          <w:sz w:val="23"/>
        </w:rPr>
        <w:t>References</w:t>
      </w:r>
    </w:p>
    <w:p>
      <w:pPr>
        <w:spacing w:after="40" w:line="276" w:lineRule="auto"/>
        <w:ind w:left="360"/>
        <w:jc w:val="both"/>
      </w:pPr>
      <w:r>
        <w:rPr>
          <w:rFonts w:ascii="Calibri" w:hAnsi="Calibri"/>
          <w:color w:val="2D3748"/>
          <w:sz w:val="17"/>
        </w:rPr>
        <w:t>[1] M. Motie and J. De Weerdt, "Graph neural networks for financial fraud detection: A comprehensive survey," ACM Transactions on Knowledge Discovery from Data, vol. 18, no. 4, pp. 1–35, 2024.</w:t>
      </w:r>
    </w:p>
    <w:p>
      <w:pPr>
        <w:spacing w:after="40" w:line="276" w:lineRule="auto"/>
        <w:ind w:left="360"/>
        <w:jc w:val="both"/>
      </w:pPr>
      <w:r>
        <w:rPr>
          <w:rFonts w:ascii="Calibri" w:hAnsi="Calibri"/>
          <w:color w:val="2D3748"/>
          <w:sz w:val="17"/>
        </w:rPr>
        <w:t>[2] M. Salih, A. Al-Ani, and H. Al-Nuaimy, "Survey on machine learning techniques for enterprise resource planning fraud detection," IEEE Access, vol. 9, pp. 142105–142125, 2021.</w:t>
      </w:r>
    </w:p>
    <w:p>
      <w:pPr>
        <w:spacing w:after="40" w:line="276" w:lineRule="auto"/>
        <w:ind w:left="360"/>
        <w:jc w:val="both"/>
      </w:pPr>
      <w:r>
        <w:rPr>
          <w:rFonts w:ascii="Calibri" w:hAnsi="Calibri"/>
          <w:color w:val="2D3748"/>
          <w:sz w:val="17"/>
        </w:rPr>
        <w:t>[3] X. Yuan, C. Wang, and J. Sun, "Graph neural networks in financial fraud detection: A survey," ACM Computing Surveys, vol. 57, no. 3, pp. 1–38, 2025.</w:t>
      </w:r>
    </w:p>
    <w:p>
      <w:pPr>
        <w:spacing w:after="40" w:line="276" w:lineRule="auto"/>
        <w:ind w:left="360"/>
        <w:jc w:val="both"/>
      </w:pPr>
      <w:r>
        <w:rPr>
          <w:rFonts w:ascii="Calibri" w:hAnsi="Calibri"/>
          <w:color w:val="2D3748"/>
          <w:sz w:val="17"/>
        </w:rPr>
        <w:t>[4] E. Rossi, B. Chamberlain, F. Frasca, D. Eynard, F. Monti, and M. Bronstein, "Temporal graph networks for deep learning on dynamic graphs," in ICML Workshop on Graph Representation Learning, 2020.</w:t>
      </w:r>
    </w:p>
    <w:p>
      <w:pPr>
        <w:spacing w:after="40" w:line="276" w:lineRule="auto"/>
        <w:ind w:left="360"/>
        <w:jc w:val="both"/>
      </w:pPr>
      <w:r>
        <w:rPr>
          <w:rFonts w:ascii="Calibri" w:hAnsi="Calibri"/>
          <w:color w:val="2D3748"/>
          <w:sz w:val="17"/>
        </w:rPr>
        <w:t>[5] S. Jesus, J. Pombal, M. Alves, A. Cruz, P. Saleiro, R. Ribeiro, J. Gama, and P. Bizarro, "Turning the tables on temporal leakage: A rigorous evaluation of machine learning for fraud detection," in Proc. ACM Conf. Comput. Commun. Secur. (CCS), 2022, pp. 2523–2537.</w:t>
      </w:r>
    </w:p>
    <w:p>
      <w:pPr>
        <w:spacing w:after="40" w:line="276" w:lineRule="auto"/>
        <w:ind w:left="360"/>
        <w:jc w:val="both"/>
      </w:pPr>
      <w:r>
        <w:rPr>
          <w:rFonts w:ascii="Calibri" w:hAnsi="Calibri"/>
          <w:color w:val="2D3748"/>
          <w:sz w:val="17"/>
        </w:rPr>
        <w:t>[6] T. N. Kipf and M. Welling, "Semi-supervised classification with graph convolutional networks," in Proc. Int. Conf. Learn. Represent. (ICLR), 2017.</w:t>
      </w:r>
    </w:p>
    <w:p>
      <w:pPr>
        <w:spacing w:after="40" w:line="276" w:lineRule="auto"/>
        <w:ind w:left="360"/>
        <w:jc w:val="both"/>
      </w:pPr>
      <w:r>
        <w:rPr>
          <w:rFonts w:ascii="Calibri" w:hAnsi="Calibri"/>
          <w:color w:val="2D3748"/>
          <w:sz w:val="17"/>
        </w:rPr>
        <w:t>[7] P. Veličković, G. Cucurull, A. Casanova, A. Romero, P. Liò, and Y. Bengio, "Graph attention networks," in Proc. Int. Conf. Learn. Represent. (ICLR), 2018.</w:t>
      </w:r>
    </w:p>
    <w:p>
      <w:pPr>
        <w:spacing w:after="40" w:line="276" w:lineRule="auto"/>
        <w:ind w:left="360"/>
        <w:jc w:val="both"/>
      </w:pPr>
      <w:r>
        <w:rPr>
          <w:rFonts w:ascii="Calibri" w:hAnsi="Calibri"/>
          <w:color w:val="2D3748"/>
          <w:sz w:val="17"/>
        </w:rPr>
        <w:t>[8] A. Pareja, J. M. Domeniconi, J. Chen, T. Teng, T. Suzumura, H. Kaler, T. Schardl, and C. Leiserson, "EvolveGCN: Evolving graph convolutional networks for dynamic graphs," in Proc. AAAI Conf. Artif. Intell., vol. 34, no. 04, pp. 5363–5370, 2020.</w:t>
      </w:r>
    </w:p>
    <w:p>
      <w:pPr>
        <w:spacing w:after="40" w:line="276" w:lineRule="auto"/>
        <w:ind w:left="360"/>
        <w:jc w:val="both"/>
      </w:pPr>
      <w:r>
        <w:rPr>
          <w:rFonts w:ascii="Calibri" w:hAnsi="Calibri"/>
          <w:color w:val="2D3748"/>
          <w:sz w:val="17"/>
        </w:rPr>
        <w:t>[9] A. Faccia, "Explainable artificial intelligence in continuous auditing and corporate reporting: A regulatory perspective," Journal of Accounting &amp; Organizational Change, 2026.</w:t>
      </w:r>
    </w:p>
    <w:p>
      <w:pPr>
        <w:spacing w:after="40" w:line="276" w:lineRule="auto"/>
        <w:ind w:left="360"/>
        <w:jc w:val="both"/>
      </w:pPr>
      <w:r>
        <w:rPr>
          <w:rFonts w:ascii="Calibri" w:hAnsi="Calibri"/>
          <w:color w:val="2D3748"/>
          <w:sz w:val="17"/>
        </w:rPr>
        <w:t>[10] S. Uddin, M. Khan, and R. Roy, "Shapley-additive explanations for forensic accounting analytics: Bridging machine learning and regulatory audits," Decision Support Systems, 2026.</w:t>
      </w:r>
    </w:p>
    <w:p>
      <w:pPr>
        <w:spacing w:after="40" w:line="276" w:lineRule="auto"/>
        <w:ind w:left="360"/>
        <w:jc w:val="both"/>
      </w:pPr>
      <w:r>
        <w:rPr>
          <w:rFonts w:ascii="Calibri" w:hAnsi="Calibri"/>
          <w:color w:val="2D3748"/>
          <w:sz w:val="17"/>
        </w:rPr>
        <w:t>[11] E. Lopez-Rojas, A. Elmir, and S. Axelsson, "BankSim: A bank payment simulation for fraud detection research," in Proc. 26th European Modeling and Simulation Symp., 2016, pp. 144–152.</w:t>
      </w:r>
    </w:p>
    <w:p>
      <w:pPr>
        <w:spacing w:after="40" w:line="276" w:lineRule="auto"/>
        <w:ind w:left="360"/>
        <w:jc w:val="both"/>
      </w:pPr>
      <w:r>
        <w:rPr>
          <w:rFonts w:ascii="Calibri" w:hAnsi="Calibri"/>
          <w:color w:val="2D3748"/>
          <w:sz w:val="17"/>
        </w:rPr>
        <w:t>[12] M. Weber, G. Chen, F. Zhu, K. Bellei, L. Zheng, and B. Mac Donald, "Anti-money laundering in bitcoin: Experimenting with graph convolutional networks for financial forensics," in Proc. KDD Workshop on Mining and Learning with Graphs, 2019.</w:t>
      </w:r>
    </w:p>
    <w:p>
      <w:pPr>
        <w:spacing w:after="40" w:line="276" w:lineRule="auto"/>
        <w:ind w:left="360"/>
        <w:jc w:val="both"/>
      </w:pPr>
      <w:r>
        <w:rPr>
          <w:rFonts w:ascii="Calibri" w:hAnsi="Calibri"/>
          <w:color w:val="2D3748"/>
          <w:sz w:val="17"/>
        </w:rPr>
        <w:t>[13] M. Schreyer, T. Sattarov, D. Borth, A. Dengel, and B. Neubauer, "Detection of accounting anomalies in large-scale ERP systems using deep autoencoders," in Proc. Int. Conf. Inf. Syst. (ICIS), 2020.</w:t>
      </w:r>
    </w:p>
    <w:p>
      <w:pPr>
        <w:spacing w:after="40" w:line="276" w:lineRule="auto"/>
        <w:ind w:left="360"/>
        <w:jc w:val="both"/>
      </w:pPr>
      <w:r>
        <w:rPr>
          <w:rFonts w:ascii="Calibri" w:hAnsi="Calibri"/>
          <w:color w:val="2D3748"/>
          <w:sz w:val="17"/>
        </w:rPr>
        <w:t>[14] H. B. McMahan, E. Moore, D. Ramage, S. Hampson, and B. A. y Arcas, "Communication-efficient learning of deep networks from decentralized data," in Proc. AISTATS, 2017, pp. 1273–1282.</w:t>
      </w:r>
    </w:p>
    <w:p>
      <w:pPr>
        <w:spacing w:after="40" w:line="276" w:lineRule="auto"/>
        <w:ind w:left="360"/>
        <w:jc w:val="both"/>
      </w:pPr>
      <w:r>
        <w:rPr>
          <w:rFonts w:ascii="Calibri" w:hAnsi="Calibri"/>
          <w:color w:val="2D3748"/>
          <w:sz w:val="17"/>
        </w:rPr>
        <w:t>[15] T. Li, A. K. Sahu, M. Zahir, M. Sanjabi, A. Talwalkar, and V. Smith, "Federated optimization in heterogeneous networks," in Proc. MLSys, 2020, pp. 429–450.</w:t>
      </w:r>
    </w:p>
    <w:sectPr w:rsidR="00FC693F" w:rsidRPr="0006063C" w:rsidSect="00034616">
      <w:pgSz w:w="12240" w:h="15840"/>
      <w:pgMar w:top="1080" w:right="1080" w:bottom="1080" w:left="1080" w:header="576" w:footer="576"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Manuscript prepared for Project Review 2, Academic Year 2026 | IEEE Format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The Self-Auditing Ledger: Leakage-Free Temporal Graph Topology for ERP Fraud Detection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