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sectPr>
          <w:headerReference w:type="default" r:id="rId9"/>
          <w:footerReference w:type="default" r:id="rId10"/>
          <w:pgSz w:w="12240" w:h="15840"/>
          <w:pgMar w:top="1080" w:right="1080" w:bottom="1080" w:left="1080" w:header="576" w:footer="576" w:gutter="0"/>
          <w:cols w:space="720"/>
          <w:docGrid w:linePitch="360"/>
        </w:sectPr>
      </w:pPr>
    </w:p>
    <w:p>
      <w:pPr>
        <w:keepNext/>
        <w:spacing w:before="240" w:after="60"/>
      </w:pPr>
      <w:r>
        <w:rPr>
          <w:rFonts w:ascii="Calibri" w:hAnsi="Calibri"/>
          <w:b/>
          <w:color w:val="1B365D"/>
          <w:sz w:val="23"/>
        </w:rPr>
        <w:t>1. Introduction and Related Work</w:t>
      </w:r>
    </w:p>
    <w:p>
      <w:pPr>
        <w:spacing w:after="80" w:line="276" w:lineRule="auto"/>
        <w:jc w:val="both"/>
      </w:pPr>
      <w:r>
        <w:rPr>
          <w:rFonts w:ascii="Calibri" w:hAnsi="Calibri"/>
          <w:i w:val="0"/>
          <w:color w:val="2D3748"/>
          <w:sz w:val="19"/>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19"/>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19"/>
        </w:rPr>
        <w:t xml:space="preserve">1. Pervasive Temporal Leakage: </w:t>
      </w:r>
      <w:r>
        <w:rPr>
          <w:rFonts w:ascii="Calibri" w:hAnsi="Calibri"/>
          <w:color w:val="2D3748"/>
          <w:sz w:val="19"/>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19"/>
        </w:rPr>
        <w:t xml:space="preserve">2. Absent Ablation Discipline: </w:t>
      </w:r>
      <w:r>
        <w:rPr>
          <w:rFonts w:ascii="Calibri" w:hAnsi="Calibri"/>
          <w:color w:val="2D3748"/>
          <w:sz w:val="19"/>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19"/>
        </w:rPr>
        <w:t xml:space="preserve">3. Uninterpretable Black-Box Deployments: </w:t>
      </w:r>
      <w:r>
        <w:rPr>
          <w:rFonts w:ascii="Calibri" w:hAnsi="Calibri"/>
          <w:color w:val="2D3748"/>
          <w:sz w:val="19"/>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19"/>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3"/>
        </w:rPr>
        <w:t>2. System and Research Foundations</w:t>
      </w:r>
    </w:p>
    <w:p>
      <w:pPr>
        <w:spacing w:after="80" w:line="276" w:lineRule="auto"/>
        <w:jc w:val="both"/>
      </w:pPr>
      <w:r>
        <w:rPr>
          <w:rFonts w:ascii="Calibri" w:hAnsi="Calibri"/>
          <w:i w:val="0"/>
          <w:color w:val="2D3748"/>
          <w:sz w:val="19"/>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3"/>
        </w:rPr>
        <w:t>3. Proposed Model (Hybrid TGN-XGBoost)</w:t>
      </w:r>
    </w:p>
    <w:p>
      <w:pPr>
        <w:keepNext/>
        <w:spacing w:before="160" w:after="40"/>
      </w:pPr>
      <w:r>
        <w:rPr>
          <w:rFonts w:ascii="Calibri" w:hAnsi="Calibri"/>
          <w:b/>
          <w:color w:val="2B6CB0"/>
          <w:sz w:val="21"/>
        </w:rPr>
        <w:t>i. Architecture</w:t>
      </w:r>
    </w:p>
    <w:p>
      <w:pPr>
        <w:spacing w:after="80" w:line="276" w:lineRule="auto"/>
        <w:jc w:val="both"/>
      </w:pPr>
      <w:r>
        <w:rPr>
          <w:rFonts w:ascii="Calibri" w:hAnsi="Calibri"/>
          <w:i w:val="0"/>
          <w:color w:val="2D3748"/>
          <w:sz w:val="19"/>
        </w:rPr>
        <w:t>Rather than treating fraud detection as a generic black-box pipeline, the proposed Hybrid TGN-XGBoost model couples continuous-time temporal graph representations, streaming causal topological metrics, and gradient-boosted decision trees into a unified multi-phase architecture (Fig. 1).</w:t>
      </w:r>
    </w:p>
    <w:p>
      <w:pPr>
        <w:keepNext/>
        <w:spacing w:before="120" w:after="40"/>
        <w:jc w:val="center"/>
      </w:pPr>
      <w:r>
        <w:drawing>
          <wp:inline xmlns:a="http://schemas.openxmlformats.org/drawingml/2006/main" xmlns:pic="http://schemas.openxmlformats.org/drawingml/2006/picture">
            <wp:extent cx="2971800" cy="1779294"/>
            <wp:docPr id="1" name="Picture 1"/>
            <wp:cNvGraphicFramePr>
              <a:graphicFrameLocks noChangeAspect="1"/>
            </wp:cNvGraphicFramePr>
            <a:graphic>
              <a:graphicData uri="http://schemas.openxmlformats.org/drawingml/2006/picture">
                <pic:pic>
                  <pic:nvPicPr>
                    <pic:cNvPr id="0" name="proposed_model_architecture.png"/>
                    <pic:cNvPicPr/>
                  </pic:nvPicPr>
                  <pic:blipFill>
                    <a:blip r:embed="rId11"/>
                    <a:stretch>
                      <a:fillRect/>
                    </a:stretch>
                  </pic:blipFill>
                  <pic:spPr>
                    <a:xfrm>
                      <a:off x="0" y="0"/>
                      <a:ext cx="2971800" cy="1779294"/>
                    </a:xfrm>
                    <a:prstGeom prst="rect"/>
                  </pic:spPr>
                </pic:pic>
              </a:graphicData>
            </a:graphic>
          </wp:inline>
        </w:drawing>
      </w:r>
    </w:p>
    <w:p>
      <w:pPr>
        <w:spacing w:before="40" w:after="160"/>
        <w:jc w:val="both"/>
      </w:pPr>
      <w:r>
        <w:rPr>
          <w:rFonts w:ascii="Calibri" w:hAnsi="Calibri"/>
          <w:i/>
          <w:color w:val="2D3748"/>
          <w:sz w:val="17"/>
        </w:rPr>
        <w:t>Fig. 1: Operational architecture of the proposed Hybrid TGN-XGBoost model: detailing the five sequential and parallel algorithmic phases from input transaction quintuple e_k = (u_k, v_k, t_k, a_k, c_k) and causal trailing windowing H_k^(W), through tri-branch tabular, streaming topology, and continuous TGN dynamic memory extraction, to hybrid direct-sum fusion z_k, imbalance-calibrated XGBoost scoring via margin focal loss ℓ_focal, and operational threshold decision gating.</w:t>
      </w:r>
    </w:p>
    <w:p>
      <w:pPr>
        <w:spacing w:after="80" w:line="276" w:lineRule="auto"/>
        <w:jc w:val="both"/>
      </w:pPr>
      <w:r>
        <w:rPr>
          <w:rFonts w:ascii="Calibri" w:hAnsi="Calibri"/>
          <w:i w:val="0"/>
          <w:color w:val="2D3748"/>
          <w:sz w:val="19"/>
        </w:rPr>
        <w:t>We model the incoming transactional ledger as a directed temporal streaming multigraph G = (V, E, T), where V = {v_1, v_2, ..., v_|V|} denotes the discrete universe of financial ledger accounts or counterparties, and T = {t_1, t_2, ...} ⊂ ℕ represents strictly ordered epoch posting timestamps (t_k ≤ t_{k+1}). Each transactional edge is represented as an ordered quintuple e_k = (u_k, v_k, t_k, a_k, c_k) ∈ E, where u_k ∈ V is the debiting source entity, v_k ∈ V is the crediting destination counterparty, t_k ∈ T is the posting epoch timestamp, a_k ∈ ℝ^+ is the positive monetary transfer volume, and c_k ∈ ℝ^{d_c} encodes ledger categorical voucher attributes (posting key, document type).</w:t>
      </w:r>
    </w:p>
    <w:p>
      <w:pPr>
        <w:spacing w:after="80" w:line="276" w:lineRule="auto"/>
        <w:jc w:val="both"/>
      </w:pPr>
      <w:r>
        <w:rPr>
          <w:rFonts w:ascii="Calibri" w:hAnsi="Calibri"/>
          <w:i w:val="0"/>
          <w:color w:val="2D3748"/>
          <w:sz w:val="19"/>
        </w:rPr>
        <w:t>The proposed model architecture operates across five tightly integrated algorithmic phases:</w:t>
      </w:r>
    </w:p>
    <w:p>
      <w:pPr>
        <w:pStyle w:val="ListBullet"/>
        <w:spacing w:after="60" w:line="276" w:lineRule="auto"/>
        <w:jc w:val="both"/>
      </w:pPr>
      <w:r>
        <w:rPr>
          <w:rFonts w:ascii="Calibri" w:hAnsi="Calibri"/>
          <w:b/>
          <w:color w:val="2D3748"/>
          <w:sz w:val="19"/>
        </w:rPr>
        <w:t xml:space="preserve">1. Phase 1: Chronological Ingestion &amp; Causal History Windowing: </w:t>
      </w:r>
      <w:r>
        <w:rPr>
          <w:rFonts w:ascii="Calibri" w:hAnsi="Calibri"/>
          <w:color w:val="2D3748"/>
          <w:sz w:val="19"/>
        </w:rPr>
        <w:t>Ingests continuous financial transactions e_k = (u_k, v_k, t_k, a_k, c_k) under strict chronological time sorting. The engine maintains a trailing causal historical subgraph H_k^(W) = { e_j ∈ E : t_k - W ≤ t_j &lt; t_k } over multi-scale sliding windows W ∈ {1d, 7d, 30d}. To guarantee zero lookahead contamination, the architecture enforces the formal read-then-insert execution invariant (∀ e_j ∈ H_k^(W), t_j &lt; t_k ⟹ e_k ∉ H_k^(W)), ensuring all topological metrics are evaluated strictly against historical graph state prior to edge insertion.</w:t>
      </w:r>
    </w:p>
    <w:p>
      <w:pPr>
        <w:pStyle w:val="ListBullet"/>
        <w:spacing w:after="60" w:line="276" w:lineRule="auto"/>
        <w:jc w:val="both"/>
      </w:pPr>
      <w:r>
        <w:rPr>
          <w:rFonts w:ascii="Calibri" w:hAnsi="Calibri"/>
          <w:b/>
          <w:color w:val="2D3748"/>
          <w:sz w:val="19"/>
        </w:rPr>
        <w:t xml:space="preserve">2. Phase 2: Tri-Branch Multi-Taxonomic Feature Extraction: </w:t>
      </w:r>
      <w:r>
        <w:rPr>
          <w:rFonts w:ascii="Calibri" w:hAnsi="Calibri"/>
          <w:color w:val="2D3748"/>
          <w:sz w:val="19"/>
        </w:rPr>
        <w:t>Decomposes the transaction into three parallel, complementary feature extraction pipelines: (a) Branch A (Tabular Domain x_tab): computes non-linear amount scaling log_10(a_k + 1), running historical z-scores via Welford's algorithm over past entity postings H_k(u_k) = {j &lt; k : u_j = u_k}, diurnal periodic harmonics (sin, cos)(2π h_k / 24) where h_k is posting hour, inter-event arrival intervals Δt_k = t_k - t_last(u_k), and dictionary-encoded voucher categorical embeddings; (b) Branch B (Streaming Topology Domain g_topo): traverses the in-memory causal multigraph H_k^(W) to extract thirteen structural indicators: source out-degree, destination in-degree, fan-in ratio, fan-out ratio, counterparty reciprocity, burstiness velocity, rolling amount recurrence count (LapMemory), and depth-bounded directed cycle motifs; (c) Branch C (Continuous Dynamic Graph Memory h_dyn): executes continuous-time representation learning via a Temporal Graph Network (TGN). For each interaction, interaction messages are generated, updated through dual asymmetric GRU node memory states (s_u(t), s_v(t)), encoded with Time2Vec temporal harmonic features, and aggregated via multi-head dynamic graph attention into a 16-dimensional continuous latent embedding h_dyn(e_k, t_k).</w:t>
      </w:r>
    </w:p>
    <w:p>
      <w:pPr>
        <w:pStyle w:val="ListBullet"/>
        <w:spacing w:after="60" w:line="276" w:lineRule="auto"/>
        <w:jc w:val="both"/>
      </w:pPr>
      <w:r>
        <w:rPr>
          <w:rFonts w:ascii="Calibri" w:hAnsi="Calibri"/>
          <w:b/>
          <w:color w:val="2D3748"/>
          <w:sz w:val="19"/>
        </w:rPr>
        <w:t xml:space="preserve">3. Phase 3: Hybrid Multi-Modal Feature Fusion: </w:t>
      </w:r>
      <w:r>
        <w:rPr>
          <w:rFonts w:ascii="Calibri" w:hAnsi="Calibri"/>
          <w:color w:val="2D3748"/>
          <w:sz w:val="19"/>
        </w:rPr>
        <w:t>Unifies the three disparate feature representations via the direct-sum concatenation operator z_k = x_tab(e_k) ⊕ g_topo(e_k, H_k^(W)) ⊕ h_dyn(e_k, t_k) ∈ ℝ^D (Eq. 1), yielding a unified D-dimensional structural-temporal representation that captures immediate transaction attributes, local relational network topology, and dynamic counterparty interaction trajectories.</w:t>
      </w:r>
    </w:p>
    <w:p>
      <w:pPr>
        <w:pStyle w:val="ListBullet"/>
        <w:spacing w:after="60" w:line="276" w:lineRule="auto"/>
        <w:jc w:val="both"/>
      </w:pPr>
      <w:r>
        <w:rPr>
          <w:rFonts w:ascii="Calibri" w:hAnsi="Calibri"/>
          <w:b/>
          <w:color w:val="2D3748"/>
          <w:sz w:val="19"/>
        </w:rPr>
        <w:t xml:space="preserve">4. Phase 4: Imbalance-Calibrated XGBoost Classification Head: </w:t>
      </w:r>
      <w:r>
        <w:rPr>
          <w:rFonts w:ascii="Calibri" w:hAnsi="Calibri"/>
          <w:color w:val="2D3748"/>
          <w:sz w:val="19"/>
        </w:rPr>
        <w:t>Routes the fused composite vector z_k into an ensemble of gradient-boosted decision trees T_GBDT, mapping z_k → s_k ∈ ℝ (log-odds forensic margin score). The trees are trained under custom margin-space α-free focal loss ℓ_focal (Eq. 2), which suppresses gradient overwhelm from the overwhelming 99.9% non-fraud majority via the dynamic modulating factor (1 - p_k)^γ.</w:t>
      </w:r>
    </w:p>
    <w:p>
      <w:pPr>
        <w:pStyle w:val="ListBullet"/>
        <w:spacing w:after="60" w:line="276" w:lineRule="auto"/>
        <w:jc w:val="both"/>
      </w:pPr>
      <w:r>
        <w:rPr>
          <w:rFonts w:ascii="Calibri" w:hAnsi="Calibri"/>
          <w:b/>
          <w:color w:val="2D3748"/>
          <w:sz w:val="19"/>
        </w:rPr>
        <w:t xml:space="preserve">5. Phase 5: Operational Decision Gating &amp; Risk Inference: </w:t>
      </w:r>
      <w:r>
        <w:rPr>
          <w:rFonts w:ascii="Calibri" w:hAnsi="Calibri"/>
          <w:color w:val="2D3748"/>
          <w:sz w:val="19"/>
        </w:rPr>
        <w:t>Converts the margin score s_k via sigmoid activation into calibrated posterior fraud probability p_k = σ(s_k) ∈ (0, 1). The score is gated against a validation-frozen operational decision threshold θ_audit* (ŷ_k = 𝕀(p_k ≥ θ_audit*)) to generate deterministic, triage-ready fraud alerts.</w:t>
      </w:r>
    </w:p>
    <w:p>
      <w:pPr>
        <w:keepNext/>
        <w:spacing w:before="160" w:after="40"/>
      </w:pPr>
      <w:r>
        <w:rPr>
          <w:rFonts w:ascii="Calibri" w:hAnsi="Calibri"/>
          <w:b/>
          <w:color w:val="2B6CB0"/>
          <w:sz w:val="21"/>
        </w:rPr>
        <w:t>ii. Preprocessing</w:t>
      </w:r>
    </w:p>
    <w:p>
      <w:pPr>
        <w:spacing w:after="80" w:line="276" w:lineRule="auto"/>
        <w:jc w:val="both"/>
      </w:pPr>
      <w:r>
        <w:rPr>
          <w:rFonts w:ascii="Calibri" w:hAnsi="Calibri"/>
          <w:i w:val="0"/>
          <w:color w:val="2D3748"/>
          <w:sz w:val="19"/>
        </w:rPr>
        <w:t>All financial transaction data is processed through a deterministic, strictly causal pipeline:</w:t>
      </w:r>
    </w:p>
    <w:p>
      <w:pPr>
        <w:pStyle w:val="ListBullet"/>
        <w:spacing w:after="60" w:line="276" w:lineRule="auto"/>
        <w:jc w:val="both"/>
      </w:pPr>
      <w:r>
        <w:rPr>
          <w:rFonts w:ascii="Calibri" w:hAnsi="Calibri"/>
          <w:b/>
          <w:color w:val="2D3748"/>
          <w:sz w:val="19"/>
        </w:rPr>
        <w:t xml:space="preserve">1. Type Normalization: </w:t>
      </w:r>
      <w:r>
        <w:rPr>
          <w:rFonts w:ascii="Calibri" w:hAnsi="Calibri"/>
          <w:color w:val="2D3748"/>
          <w:sz w:val="19"/>
        </w:rPr>
        <w:t>Timestamps are coerced to integer epoch seconds; monetary amounts a_k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19"/>
        </w:rPr>
        <w:t xml:space="preserve">2. Chronological Partitioning: </w:t>
      </w:r>
      <w:r>
        <w:rPr>
          <w:rFonts w:ascii="Calibri" w:hAnsi="Calibri"/>
          <w:color w:val="2D3748"/>
          <w:sz w:val="19"/>
        </w:rPr>
        <w:t>Transactions are sorted by the composite key (t_k, tx_id). The data is partitioned into strictly ordered chronological splits: 60% training (t &lt; T_1), 20% validation (T_1 ≤ t &lt; T_2), and 20% held-out test (t ≥ T_2). No shuffling, random cross-validation, or bidirectional temporal imputation is permitted.</w:t>
      </w:r>
    </w:p>
    <w:p>
      <w:pPr>
        <w:pStyle w:val="ListBullet"/>
        <w:spacing w:after="60" w:line="276" w:lineRule="auto"/>
        <w:jc w:val="both"/>
      </w:pPr>
      <w:r>
        <w:rPr>
          <w:rFonts w:ascii="Calibri" w:hAnsi="Calibri"/>
          <w:b/>
          <w:color w:val="2D3748"/>
          <w:sz w:val="19"/>
        </w:rPr>
        <w:t xml:space="preserve">3. Expanding Sequential Estimators: </w:t>
      </w:r>
      <w:r>
        <w:rPr>
          <w:rFonts w:ascii="Calibri" w:hAnsi="Calibri"/>
          <w:color w:val="2D3748"/>
          <w:sz w:val="19"/>
        </w:rPr>
        <w:t>All feature scaling factors and running z-scores are computed using Welford's algorithm [20] over the causal historical set H_k(u_k) = {j &lt; k : u_j = u_k} only, preventing lookahead contamination.</w:t>
      </w:r>
    </w:p>
    <w:p>
      <w:pPr>
        <w:keepNext/>
        <w:spacing w:before="160" w:after="40"/>
      </w:pPr>
      <w:r>
        <w:rPr>
          <w:rFonts w:ascii="Calibri" w:hAnsi="Calibri"/>
          <w:b/>
          <w:color w:val="2B6CB0"/>
          <w:sz w:val="21"/>
        </w:rPr>
        <w:t>iii. Feature Analysis</w:t>
      </w:r>
    </w:p>
    <w:p>
      <w:pPr>
        <w:spacing w:after="80" w:line="276" w:lineRule="auto"/>
        <w:jc w:val="both"/>
      </w:pPr>
      <w:r>
        <w:rPr>
          <w:rFonts w:ascii="Calibri" w:hAnsi="Calibri"/>
          <w:i w:val="0"/>
          <w:color w:val="2D3748"/>
          <w:sz w:val="19"/>
        </w:rPr>
        <w:t>Each transaction e_k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z_k = x_tab(e_k) ⊕ g_topo(e_k, H_k^(W)) ⊕ h_dyn(e_k, t_k) ∈ ℝ^D</w:t>
            </w:r>
            <w:r>
              <w:rPr>
                <w:rFonts w:ascii="Calibri" w:hAnsi="Calibri"/>
                <w:i/>
                <w:color w:val="718096"/>
                <w:sz w:val="17"/>
              </w:rPr>
              <w:t xml:space="preserve">    (1)</w:t>
            </w:r>
          </w:p>
        </w:tc>
      </w:tr>
    </w:tbl>
    <w:p>
      <w:pPr>
        <w:spacing w:after="40"/>
      </w:pPr>
    </w:p>
    <w:p>
      <w:pPr>
        <w:spacing w:after="80" w:line="276" w:lineRule="auto"/>
        <w:jc w:val="both"/>
      </w:pPr>
      <w:r>
        <w:rPr>
          <w:rFonts w:ascii="Calibri" w:hAnsi="Calibri"/>
          <w:i w:val="0"/>
          <w:color w:val="2D3748"/>
          <w:sz w:val="19"/>
        </w:rPr>
        <w:t>across three distinct taxonomic families:</w:t>
      </w:r>
    </w:p>
    <w:p>
      <w:pPr>
        <w:pStyle w:val="ListBullet"/>
        <w:spacing w:after="60" w:line="276" w:lineRule="auto"/>
        <w:jc w:val="both"/>
      </w:pPr>
      <w:r>
        <w:rPr>
          <w:rFonts w:ascii="Calibri" w:hAnsi="Calibri"/>
          <w:b/>
          <w:color w:val="2D3748"/>
          <w:sz w:val="19"/>
        </w:rPr>
        <w:t xml:space="preserve">1. Ordinary Tabular Features (x_tab): </w:t>
      </w:r>
      <w:r>
        <w:rPr>
          <w:rFonts w:ascii="Calibri" w:hAnsi="Calibri"/>
          <w:color w:val="2D3748"/>
          <w:sz w:val="19"/>
        </w:rPr>
        <w:t>log_10(a_k + 1), running causal z-scores, diurnal periodic encodings (sin(2π h_k / 24), cos(2π h_k / 24)) where h_k is posting hour, and inter-event arrival deltas Δt_k.</w:t>
      </w:r>
    </w:p>
    <w:p>
      <w:pPr>
        <w:pStyle w:val="ListBullet"/>
        <w:spacing w:after="60" w:line="276" w:lineRule="auto"/>
        <w:jc w:val="both"/>
      </w:pPr>
      <w:r>
        <w:rPr>
          <w:rFonts w:ascii="Calibri" w:hAnsi="Calibri"/>
          <w:b/>
          <w:color w:val="2D3748"/>
          <w:sz w:val="19"/>
        </w:rPr>
        <w:t xml:space="preserve">2. Handcrafted Streaming Topology (g_topo): </w:t>
      </w:r>
      <w:r>
        <w:rPr>
          <w:rFonts w:ascii="Calibri" w:hAnsi="Calibri"/>
          <w:color w:val="2D3748"/>
          <w:sz w:val="19"/>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19"/>
        </w:rPr>
        <w:t xml:space="preserve">3. Continuous Dynamic Graph Embeddings (h_dyn): </w:t>
      </w:r>
      <w:r>
        <w:rPr>
          <w:rFonts w:ascii="Calibri" w:hAnsi="Calibri"/>
          <w:color w:val="2D3748"/>
          <w:sz w:val="19"/>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19"/>
        </w:rPr>
        <w:t>The Read-Then-Insert Execution Invariant: To guarantee zero lookahead leakage, the engine evaluates topology strictly against the trailing causal subgraph H_k^(W) = { e_j ∈ E : t_k - W ≤ t_j &lt; t_k }, enforcing that ∀ e_j ∈ H_k^(W), t_j &lt; t_k ⟹ e_k ∉ H_k^(W). Graph queries read historical state before edge e_k is added to the graph.</w:t>
      </w:r>
    </w:p>
    <w:p>
      <w:pPr>
        <w:keepNext/>
        <w:spacing w:before="120" w:after="40"/>
        <w:jc w:val="center"/>
      </w:pPr>
      <w:r>
        <w:drawing>
          <wp:inline xmlns:a="http://schemas.openxmlformats.org/drawingml/2006/main" xmlns:pic="http://schemas.openxmlformats.org/drawingml/2006/picture">
            <wp:extent cx="2971800" cy="2701636"/>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2971800" cy="2701636"/>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1"/>
        </w:rPr>
        <w:t>iv. Classification</w:t>
      </w:r>
    </w:p>
    <w:p>
      <w:pPr>
        <w:spacing w:after="80" w:line="276" w:lineRule="auto"/>
        <w:jc w:val="both"/>
      </w:pPr>
      <w:r>
        <w:rPr>
          <w:rFonts w:ascii="Calibri" w:hAnsi="Calibri"/>
          <w:i w:val="0"/>
          <w:color w:val="2D3748"/>
          <w:sz w:val="19"/>
        </w:rPr>
        <w:t>The proposed TGN-XGBoost champion model couples the composite representation z_k with gradient-boosted decision trees [19], producing a forensic margin score s_k ∈ ℝ mapped to predicted fraud posterior probability p_k = σ(s_k) ∈ (0, 1). The tree ensemble is optimized under an unweighted, symmetric α-free focal loss [17]:</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ℓ_focal(p_k, y_k) = - y_k (1 - p_k)^γ ln(p_k) - (1 - y_k) p_k^γ ln(1 - p_k)</w:t>
            </w:r>
            <w:r>
              <w:rPr>
                <w:rFonts w:ascii="Calibri" w:hAnsi="Calibri"/>
                <w:i/>
                <w:color w:val="718096"/>
                <w:sz w:val="17"/>
              </w:rPr>
              <w:t xml:space="preserve">    (2)</w:t>
            </w:r>
          </w:p>
        </w:tc>
      </w:tr>
    </w:tbl>
    <w:p>
      <w:pPr>
        <w:spacing w:after="40"/>
      </w:pPr>
    </w:p>
    <w:p>
      <w:pPr>
        <w:spacing w:after="80" w:line="276" w:lineRule="auto"/>
        <w:jc w:val="both"/>
      </w:pPr>
      <w:r>
        <w:rPr>
          <w:rFonts w:ascii="Calibri" w:hAnsi="Calibri"/>
          <w:i w:val="0"/>
          <w:color w:val="2D3748"/>
          <w:sz w:val="19"/>
        </w:rPr>
        <w:t>where y_k ∈ {0, 1} is the forensic audit label and γ &gt; 0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1"/>
        </w:rPr>
        <w:t>v. Federated</w:t>
      </w:r>
    </w:p>
    <w:p>
      <w:pPr>
        <w:spacing w:after="80" w:line="276" w:lineRule="auto"/>
        <w:jc w:val="both"/>
      </w:pPr>
      <w:r>
        <w:rPr>
          <w:rFonts w:ascii="Calibri" w:hAnsi="Calibri"/>
          <w:i w:val="0"/>
          <w:color w:val="2D3748"/>
          <w:sz w:val="19"/>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ω_c = R_c^β / ∑_{m=1}^C R_m^β,   S_ens(z_k) = ∑_{c=1}^C ω_c · M_c(z_k)</w:t>
            </w:r>
            <w:r>
              <w:rPr>
                <w:rFonts w:ascii="Calibri" w:hAnsi="Calibri"/>
                <w:i/>
                <w:color w:val="718096"/>
                <w:sz w:val="17"/>
              </w:rPr>
              <w:t xml:space="preserve">    (3)</w:t>
            </w:r>
          </w:p>
        </w:tc>
      </w:tr>
    </w:tbl>
    <w:p>
      <w:pPr>
        <w:spacing w:after="40"/>
      </w:pPr>
    </w:p>
    <w:p>
      <w:pPr>
        <w:spacing w:after="80" w:line="276" w:lineRule="auto"/>
        <w:jc w:val="both"/>
      </w:pPr>
      <w:r>
        <w:rPr>
          <w:rFonts w:ascii="Calibri" w:hAnsi="Calibri"/>
          <w:i w:val="0"/>
          <w:color w:val="2D3748"/>
          <w:sz w:val="19"/>
        </w:rPr>
        <w:t>where R_c = PR-AUC(D_val^(c)) is the empirical validation reliability score of institution c, β ≥ 1.0 is the sharpness parameter, and M_c(z_k) is the prediction from client model c.</w:t>
      </w:r>
    </w:p>
    <w:p>
      <w:pPr>
        <w:keepNext/>
        <w:spacing w:before="160" w:after="40"/>
      </w:pPr>
      <w:r>
        <w:rPr>
          <w:rFonts w:ascii="Calibri" w:hAnsi="Calibri"/>
          <w:b/>
          <w:color w:val="2B6CB0"/>
          <w:sz w:val="21"/>
        </w:rPr>
        <w:t>vi. Explainable</w:t>
      </w:r>
    </w:p>
    <w:p>
      <w:pPr>
        <w:spacing w:after="80" w:line="276" w:lineRule="auto"/>
        <w:jc w:val="both"/>
      </w:pPr>
      <w:r>
        <w:rPr>
          <w:rFonts w:ascii="Calibri" w:hAnsi="Calibri"/>
          <w:i w:val="0"/>
          <w:color w:val="2D3748"/>
          <w:sz w:val="19"/>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s_k = ln( p_k / (1 - p_k) ) = ϕ_0 + ∑_{j=1}^D ϕ_j(z_k)</w:t>
            </w:r>
            <w:r>
              <w:rPr>
                <w:rFonts w:ascii="Calibri" w:hAnsi="Calibri"/>
                <w:i/>
                <w:color w:val="718096"/>
                <w:sz w:val="17"/>
              </w:rPr>
              <w:t xml:space="preserve">    (4)</w:t>
            </w:r>
          </w:p>
        </w:tc>
      </w:tr>
    </w:tbl>
    <w:p>
      <w:pPr>
        <w:spacing w:after="40"/>
      </w:pPr>
    </w:p>
    <w:p>
      <w:pPr>
        <w:spacing w:after="80" w:line="276" w:lineRule="auto"/>
        <w:jc w:val="both"/>
      </w:pPr>
      <w:r>
        <w:rPr>
          <w:rFonts w:ascii="Calibri" w:hAnsi="Calibri"/>
          <w:i w:val="0"/>
          <w:color w:val="2D3748"/>
          <w:sz w:val="19"/>
        </w:rPr>
        <w:t>where ϕ_0 = E[s] represents the expected baseline ledger risk and ϕ_j(z_k) is the exact additive attribution of feature j ∈ {1, ..., D}. 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3"/>
        </w:rPr>
        <w:t>4. Result and analysis</w:t>
      </w:r>
    </w:p>
    <w:p>
      <w:pPr>
        <w:keepNext/>
        <w:spacing w:before="160" w:after="40"/>
      </w:pPr>
      <w:r>
        <w:rPr>
          <w:rFonts w:ascii="Calibri" w:hAnsi="Calibri"/>
          <w:b/>
          <w:color w:val="2B6CB0"/>
          <w:sz w:val="21"/>
        </w:rPr>
        <w:t>i. Dataset Description</w:t>
      </w:r>
    </w:p>
    <w:p>
      <w:pPr>
        <w:spacing w:after="80" w:line="276" w:lineRule="auto"/>
        <w:jc w:val="both"/>
      </w:pPr>
      <w:r>
        <w:rPr>
          <w:rFonts w:ascii="Calibri" w:hAnsi="Calibri"/>
          <w:i w:val="0"/>
          <w:color w:val="2D3748"/>
          <w:sz w:val="19"/>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7"/>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56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Attribute / Metric</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Transactions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594,643</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5,076,142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200,687</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Unique Entities |𝒜|</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4,166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412,416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1,422</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Graph Topology</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Bipartite Consumer-Merchant</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Directed Multi-Hop</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Relational General Ledger</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Time Span</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180 Simulation Steps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 (Timestamped)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Full Fiscal Year (Postings)</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Trailing Window (W)</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 Steps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Fraud Cases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7,200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1,719</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248</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Overall Fraud Rate</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0.123%</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Train Transactions (τ &lt; T1)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353,638 (1.29%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790,442 (0.13%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120,411 (0.17% fraud)</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Val Transactions (T1 ≤ τ &lt; T2)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118,727 (1.11%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266,593 (0.12%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40,137 (0.047% fraud)</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Test Transactions (τ ≥ T2)</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 (1.08%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 (0.14%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 (0.062% fraud)</w:t>
            </w:r>
          </w:p>
        </w:tc>
      </w:tr>
    </w:tbl>
    <w:p>
      <w:pPr>
        <w:spacing w:after="80"/>
      </w:pPr>
    </w:p>
    <w:p>
      <w:pPr>
        <w:keepNext/>
        <w:spacing w:before="160" w:after="40"/>
      </w:pPr>
      <w:r>
        <w:rPr>
          <w:rFonts w:ascii="Calibri" w:hAnsi="Calibri"/>
          <w:b/>
          <w:color w:val="2B6CB0"/>
          <w:sz w:val="21"/>
        </w:rPr>
        <w:t>ii. Comparison of Performance Metrics With Traditional Machine Learning Models</w:t>
      </w:r>
    </w:p>
    <w:p>
      <w:pPr>
        <w:spacing w:after="80" w:line="276" w:lineRule="auto"/>
        <w:jc w:val="both"/>
      </w:pPr>
      <w:r>
        <w:rPr>
          <w:rFonts w:ascii="Calibri" w:hAnsi="Calibri"/>
          <w:i w:val="0"/>
          <w:color w:val="2D3748"/>
          <w:sz w:val="19"/>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7"/>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98.79%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0.5820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0.4912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0.5328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0.5120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99.21%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0.7142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0.6979</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0.6420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0.6460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0.6180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0.6538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0.7436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99.68%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0.8792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0.8212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0.8492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w:t>
            </w:r>
          </w:p>
        </w:tc>
      </w:tr>
    </w:tbl>
    <w:p>
      <w:pPr>
        <w:spacing w:after="80"/>
      </w:pPr>
    </w:p>
    <w:p>
      <w:pPr>
        <w:keepNext/>
        <w:spacing w:before="160" w:after="40"/>
      </w:pPr>
      <w:r>
        <w:rPr>
          <w:rFonts w:ascii="Calibri" w:hAnsi="Calibri"/>
          <w:b/>
          <w:color w:val="1B365D"/>
          <w:sz w:val="17"/>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0.5402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0.5739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0.9142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0.6280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0.7514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0.8677</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0.9780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0.7018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0.9811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r>
    </w:tbl>
    <w:p>
      <w:pPr>
        <w:spacing w:after="80"/>
      </w:pPr>
    </w:p>
    <w:p>
      <w:pPr>
        <w:keepNext/>
        <w:spacing w:before="160" w:after="40"/>
      </w:pPr>
      <w:r>
        <w:rPr>
          <w:rFonts w:ascii="Calibri" w:hAnsi="Calibri"/>
          <w:b/>
          <w:color w:val="1B365D"/>
          <w:sz w:val="17"/>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0.0210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0.0333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0.0250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0.0530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0.1600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0.0415</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0.0896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0.2400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0.1304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99.93%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0.1333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0.3200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0.1882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w:t>
            </w:r>
          </w:p>
        </w:tc>
      </w:tr>
    </w:tbl>
    <w:p>
      <w:pPr>
        <w:spacing w:after="80"/>
      </w:pPr>
    </w:p>
    <w:p>
      <w:pPr>
        <w:spacing w:after="80" w:line="276" w:lineRule="auto"/>
        <w:jc w:val="both"/>
      </w:pPr>
      <w:r>
        <w:rPr>
          <w:rFonts w:ascii="Calibri" w:hAnsi="Calibri"/>
          <w:i w:val="0"/>
          <w:color w:val="2D3748"/>
          <w:sz w:val="19"/>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2971800" cy="191729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2971800" cy="1917290"/>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1"/>
        </w:rPr>
        <w:t>iii. Ablation experiment</w:t>
      </w:r>
    </w:p>
    <w:p>
      <w:pPr>
        <w:keepNext/>
        <w:spacing w:before="120" w:after="40"/>
      </w:pPr>
      <w:r>
        <w:rPr>
          <w:rFonts w:ascii="Calibri" w:hAnsi="Calibri"/>
          <w:b/>
          <w:color w:val="2D3748"/>
          <w:sz w:val="19"/>
        </w:rPr>
        <w:t>a. Feature Fusion Module Ablation Experiments</w:t>
      </w:r>
    </w:p>
    <w:p>
      <w:pPr>
        <w:spacing w:after="80" w:line="276" w:lineRule="auto"/>
        <w:jc w:val="both"/>
      </w:pPr>
      <w:r>
        <w:rPr>
          <w:rFonts w:ascii="Calibri" w:hAnsi="Calibri"/>
          <w:i w:val="0"/>
          <w:color w:val="2D3748"/>
          <w:sz w:val="19"/>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7"/>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75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Feature Module Configuration</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1. Baseline Tabular (x_tab)</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 ± 0.0700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 ± 0.0026</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 ± 0.0129</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2. Structure Only (Amount-Blind)</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 ± 0.0035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0.9922 ± 0.0025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0.0734 ± 0.0081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3. Handcrafted Topology Only (g_topo)</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0.9319 ± 0.0017</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4. TGN Dynamic Embeddings Only (h_dyn)</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0.9196 ± 0.0012</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0.9872 ± 0.0101</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0.0594 ± 0.0241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5. Tabular + Handcrafted Topology</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0.9322 ± 0.0014</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6. Tabular + TGN Dynamic Embeddings</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0.9254 ± 0.0018</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0.0010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0.0812 ± 0.0184</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7. TGN-XGBoost Full Fusion (Proposed)</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 ± 0.0015</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 ± 0.0717</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Marginal Graph Lift (Over Tabular)</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+11.7% (+0.0974)</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 (+0.0080)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-54.6% (-0.0864)</w:t>
            </w:r>
          </w:p>
        </w:tc>
      </w:tr>
    </w:tbl>
    <w:p>
      <w:pPr>
        <w:spacing w:after="80"/>
      </w:pPr>
    </w:p>
    <w:p>
      <w:pPr>
        <w:spacing w:after="80" w:line="276" w:lineRule="auto"/>
        <w:jc w:val="both"/>
      </w:pPr>
      <w:r>
        <w:rPr>
          <w:rFonts w:ascii="Calibri" w:hAnsi="Calibri"/>
          <w:i w:val="0"/>
          <w:color w:val="2D3748"/>
          <w:sz w:val="19"/>
        </w:rPr>
        <w:t>Ablation Findings &amp; Analysis:</w:t>
      </w:r>
    </w:p>
    <w:p>
      <w:pPr>
        <w:pStyle w:val="ListBullet"/>
        <w:spacing w:after="60" w:line="276" w:lineRule="auto"/>
        <w:jc w:val="both"/>
      </w:pPr>
      <w:r>
        <w:rPr>
          <w:rFonts w:ascii="Calibri" w:hAnsi="Calibri"/>
          <w:b/>
          <w:color w:val="2D3748"/>
          <w:sz w:val="19"/>
        </w:rPr>
        <w:t xml:space="preserve">1. Conditional Graph Lift: </w:t>
      </w:r>
      <w:r>
        <w:rPr>
          <w:rFonts w:ascii="Calibri" w:hAnsi="Calibri"/>
          <w:color w:val="2D3748"/>
          <w:sz w:val="19"/>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19"/>
        </w:rPr>
        <w:t xml:space="preserve">2. The Relational ERP Clearing Hub Paradox: </w:t>
      </w:r>
      <w:r>
        <w:rPr>
          <w:rFonts w:ascii="Calibri" w:hAnsi="Calibri"/>
          <w:color w:val="2D3748"/>
          <w:sz w:val="19"/>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19"/>
        </w:rPr>
        <w:t xml:space="preserve">3. Handcrafted Topology vs. Learned TGN: </w:t>
      </w:r>
      <w:r>
        <w:rPr>
          <w:rFonts w:ascii="Calibri" w:hAnsi="Calibri"/>
          <w:color w:val="2D3748"/>
          <w:sz w:val="19"/>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19"/>
        </w:rPr>
        <w:t>b. Ablation study on activation function</w:t>
      </w:r>
    </w:p>
    <w:p>
      <w:pPr>
        <w:spacing w:after="80" w:line="276" w:lineRule="auto"/>
        <w:jc w:val="both"/>
      </w:pPr>
      <w:r>
        <w:rPr>
          <w:rFonts w:ascii="Calibri" w:hAnsi="Calibri"/>
          <w:i w:val="0"/>
          <w:color w:val="2D3748"/>
          <w:sz w:val="19"/>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7"/>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114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Activation Function</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Mathematical Formulation</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max(0, 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0.9312 ± 0.0021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0.1482 ± 0.0180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LeakyReLU (α = 0.1)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max(α x, 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 ± 0.0015</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 Φ(x)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0.9348 ± 0.0018</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0.9995 ± 0.0002</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0.1524 ± 0.0210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ELU (α = 1.0)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&gt; 0 ? x : α(e^x - 1)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0.9329 ± 0.0020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 ± 0.0004</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0.1501 ± 0.0195</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Sigmoid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 + e^-x)^-1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0.8845 ± 0.0084</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0.9620 ± 0.0085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0.0912 ± 0.0350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Tanh</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(e^x - e^-x)/(e^x + e^-x)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0.9082 ± 0.0052</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0.9841 ± 0.0041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2971800" cy="132565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2971800" cy="132565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19"/>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1"/>
        </w:rPr>
        <w:t>iv. Federated Learning Results Analysis</w:t>
      </w:r>
    </w:p>
    <w:p>
      <w:pPr>
        <w:keepNext/>
        <w:spacing w:before="120" w:after="40"/>
        <w:jc w:val="center"/>
      </w:pPr>
      <w:r>
        <w:drawing>
          <wp:inline xmlns:a="http://schemas.openxmlformats.org/drawingml/2006/main" xmlns:pic="http://schemas.openxmlformats.org/drawingml/2006/picture">
            <wp:extent cx="2971800" cy="193329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2971800" cy="193329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19"/>
        </w:rPr>
        <w:t>a. Client wise Training Accuracy and loss graphs</w:t>
      </w:r>
    </w:p>
    <w:p>
      <w:pPr>
        <w:spacing w:after="80" w:line="276" w:lineRule="auto"/>
        <w:jc w:val="both"/>
      </w:pPr>
      <w:r>
        <w:rPr>
          <w:rFonts w:ascii="Calibri" w:hAnsi="Calibri"/>
          <w:i w:val="0"/>
          <w:color w:val="2D3748"/>
          <w:sz w:val="19"/>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19"/>
        </w:rPr>
        <w:t>b. Global model (Server) Test Accuracy and Loss graphs</w:t>
      </w:r>
    </w:p>
    <w:p>
      <w:pPr>
        <w:spacing w:after="80" w:line="276" w:lineRule="auto"/>
        <w:jc w:val="both"/>
      </w:pPr>
      <w:r>
        <w:rPr>
          <w:rFonts w:ascii="Calibri" w:hAnsi="Calibri"/>
          <w:i w:val="0"/>
          <w:color w:val="2D3748"/>
          <w:sz w:val="19"/>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19"/>
        </w:rPr>
        <w:t>c. Comparison with other federated learning frameworks</w:t>
      </w:r>
    </w:p>
    <w:p>
      <w:pPr>
        <w:spacing w:after="80" w:line="276" w:lineRule="auto"/>
        <w:jc w:val="both"/>
      </w:pPr>
      <w:r>
        <w:rPr>
          <w:rFonts w:ascii="Calibri" w:hAnsi="Calibri"/>
          <w:i w:val="0"/>
          <w:color w:val="2D3748"/>
          <w:sz w:val="19"/>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7"/>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7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Federated Framework</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F1</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Upper Bound (No Privacy)</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0.9241 ± 0.0022</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0.8351</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Isolated Local-Only (Zero Sharing)</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0.8547 ± 0.0035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0.7684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0.9612 ± 0.0042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0.9480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0.0520 ± 0.0150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0.0610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FedAvg (Uniform Consensus) [14]</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0.9128 ± 0.0040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0.8359</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0.0005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0.9912</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0.1085 ± 0.0180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0.1240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Size-Weighted FedAvg [14]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0.9069 ± 0.0021</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0.8085</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0.9975 ± 0.0008</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0.1142 ± 0.0165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0.1315</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SCAFFOLD (Variance Reduction) [16]</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0.9135 ± 0.0028</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0.8348</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0.0004</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0.9945</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0.1210 ± 0.0140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0.1420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FedProx (Proposed)</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0.9140 ± 0.0037</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0.8343</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0.9995 ± 0.0002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0.9982</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0.1412 ± 0.0110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0.1650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Parity Recovered</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98.91%</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90.69%</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20" w:after="40"/>
        <w:jc w:val="center"/>
      </w:pPr>
      <w:r>
        <w:drawing>
          <wp:inline xmlns:a="http://schemas.openxmlformats.org/drawingml/2006/main" xmlns:pic="http://schemas.openxmlformats.org/drawingml/2006/picture">
            <wp:extent cx="2971800" cy="1129284"/>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2971800" cy="1129284"/>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19"/>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1"/>
        </w:rPr>
        <w:t>v. Class-wise Analysis</w:t>
      </w:r>
    </w:p>
    <w:p>
      <w:pPr>
        <w:keepNext/>
        <w:spacing w:before="120" w:after="40"/>
      </w:pPr>
      <w:r>
        <w:rPr>
          <w:rFonts w:ascii="Calibri" w:hAnsi="Calibri"/>
          <w:b/>
          <w:color w:val="2D3748"/>
          <w:sz w:val="19"/>
        </w:rPr>
        <w:t>a. Confusion Matrix</w:t>
      </w:r>
    </w:p>
    <w:p>
      <w:pPr>
        <w:spacing w:after="80" w:line="276" w:lineRule="auto"/>
        <w:jc w:val="both"/>
      </w:pPr>
      <w:r>
        <w:rPr>
          <w:rFonts w:ascii="Calibri" w:hAnsi="Calibri"/>
          <w:i w:val="0"/>
          <w:color w:val="2D3748"/>
          <w:sz w:val="19"/>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2971800" cy="895177"/>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2971800" cy="895177"/>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19"/>
        </w:rPr>
        <w:t>Confusion Matrix Findings &amp; Analysis Across Benchmark Datasets:</w:t>
      </w:r>
    </w:p>
    <w:p>
      <w:pPr>
        <w:pStyle w:val="ListBullet"/>
        <w:spacing w:after="60" w:line="276" w:lineRule="auto"/>
        <w:jc w:val="both"/>
      </w:pPr>
      <w:r>
        <w:rPr>
          <w:rFonts w:ascii="Calibri" w:hAnsi="Calibri"/>
          <w:b/>
          <w:color w:val="2D3748"/>
          <w:sz w:val="19"/>
        </w:rPr>
        <w:t xml:space="preserve">Dataset 1 (BankSim): </w:t>
      </w:r>
      <w:r>
        <w:rPr>
          <w:rFonts w:ascii="Calibri" w:hAnsi="Calibri"/>
          <w:color w:val="2D3748"/>
          <w:sz w:val="19"/>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19"/>
        </w:rPr>
        <w:t xml:space="preserve">Dataset 2 (IBM AML): </w:t>
      </w:r>
      <w:r>
        <w:rPr>
          <w:rFonts w:ascii="Calibri" w:hAnsi="Calibri"/>
          <w:color w:val="2D3748"/>
          <w:sz w:val="19"/>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19"/>
        </w:rPr>
        <w:t xml:space="preserve">Dataset 3 (SAP Würzburg General Ledger): </w:t>
      </w:r>
      <w:r>
        <w:rPr>
          <w:rFonts w:ascii="Calibri" w:hAnsi="Calibri"/>
          <w:color w:val="2D3748"/>
          <w:sz w:val="19"/>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19"/>
        </w:rPr>
        <w:t>b. Table</w:t>
      </w:r>
    </w:p>
    <w:p>
      <w:pPr>
        <w:spacing w:after="80" w:line="276" w:lineRule="auto"/>
        <w:jc w:val="both"/>
      </w:pPr>
      <w:r>
        <w:rPr>
          <w:rFonts w:ascii="Calibri" w:hAnsi="Calibri"/>
          <w:i w:val="0"/>
          <w:color w:val="2D3748"/>
          <w:sz w:val="19"/>
        </w:rPr>
        <w:t>Table 8 provides a granular, class-wise performance breakdown (Class 0: Legitimate vs. Class 1: Fraudulent) across all three benchmark datasets.</w:t>
      </w:r>
    </w:p>
    <w:p>
      <w:pPr>
        <w:keepNext/>
        <w:spacing w:before="160" w:after="40"/>
      </w:pPr>
      <w:r>
        <w:rPr>
          <w:rFonts w:ascii="Calibri" w:hAnsi="Calibri"/>
          <w:b/>
          <w:color w:val="1B365D"/>
          <w:sz w:val="17"/>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0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w:t>
            </w:r>
          </w:p>
        </w:tc>
        <w:tc>
          <w:tcPr>
            <w:tcW w:type="dxa" w:w="93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Class Label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Support</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0.9984</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0.8792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0.8212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0.8492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0.9386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0.9238</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0.9987</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0.1333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0.3200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0.5665</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0.6594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0.5937</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0.9986</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60" w:after="40"/>
      </w:pPr>
      <w:r>
        <w:rPr>
          <w:rFonts w:ascii="Calibri" w:hAnsi="Calibri"/>
          <w:b/>
          <w:color w:val="2B6CB0"/>
          <w:sz w:val="21"/>
        </w:rPr>
        <w:t>vi. Explainable results</w:t>
      </w:r>
    </w:p>
    <w:p>
      <w:pPr>
        <w:spacing w:after="80" w:line="276" w:lineRule="auto"/>
        <w:jc w:val="both"/>
      </w:pPr>
      <w:r>
        <w:rPr>
          <w:rFonts w:ascii="Calibri" w:hAnsi="Calibri"/>
          <w:i w:val="0"/>
          <w:color w:val="2D3748"/>
          <w:sz w:val="19"/>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2971800" cy="173355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2971800" cy="173355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19"/>
        </w:rPr>
        <w:t>Dataset 1 (BankSim) Attribution</w:t>
      </w:r>
    </w:p>
    <w:p>
      <w:pPr>
        <w:spacing w:after="80" w:line="276" w:lineRule="auto"/>
        <w:jc w:val="both"/>
      </w:pPr>
      <w:r>
        <w:rPr>
          <w:rFonts w:ascii="Calibri" w:hAnsi="Calibri"/>
          <w:i w:val="0"/>
          <w:color w:val="2D3748"/>
          <w:sz w:val="19"/>
        </w:rPr>
        <w:t>In BankSim, predicted fraud risk is driven by short-term degree bursts and transaction amount scale:</w:t>
      </w:r>
    </w:p>
    <w:p>
      <w:pPr>
        <w:pStyle w:val="ListBullet"/>
        <w:spacing w:after="60" w:line="276" w:lineRule="auto"/>
        <w:jc w:val="both"/>
      </w:pPr>
      <w:r>
        <w:rPr>
          <w:rFonts w:ascii="Calibri" w:hAnsi="Calibri"/>
          <w:b/>
          <w:color w:val="2D3748"/>
          <w:sz w:val="19"/>
        </w:rPr>
        <w:t xml:space="preserve">1. dest_in_degree (+0.5199 gain share): </w:t>
      </w:r>
      <w:r>
        <w:rPr>
          <w:rFonts w:ascii="Calibri" w:hAnsi="Calibri"/>
          <w:color w:val="2D3748"/>
          <w:sz w:val="19"/>
        </w:rPr>
        <w:t>Sudden surge in transaction volume directed into a specific merchant.</w:t>
      </w:r>
    </w:p>
    <w:p>
      <w:pPr>
        <w:pStyle w:val="ListBullet"/>
        <w:spacing w:after="60" w:line="276" w:lineRule="auto"/>
        <w:jc w:val="both"/>
      </w:pPr>
      <w:r>
        <w:rPr>
          <w:rFonts w:ascii="Calibri" w:hAnsi="Calibri"/>
          <w:b/>
          <w:color w:val="2D3748"/>
          <w:sz w:val="19"/>
        </w:rPr>
        <w:t xml:space="preserve">2. fan_in (+0.0908 gain share): </w:t>
      </w:r>
      <w:r>
        <w:rPr>
          <w:rFonts w:ascii="Calibri" w:hAnsi="Calibri"/>
          <w:color w:val="2D3748"/>
          <w:sz w:val="19"/>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19"/>
        </w:rPr>
        <w:t xml:space="preserve">3. log_amount (+0.43 mean |SHAP|): </w:t>
      </w:r>
      <w:r>
        <w:rPr>
          <w:rFonts w:ascii="Calibri" w:hAnsi="Calibri"/>
          <w:color w:val="2D3748"/>
          <w:sz w:val="19"/>
        </w:rPr>
        <w:t>Statistically elevated monetary amounts exceeding customer historical baselines.</w:t>
      </w:r>
    </w:p>
    <w:p>
      <w:pPr>
        <w:pStyle w:val="ListBullet"/>
        <w:spacing w:after="60" w:line="276" w:lineRule="auto"/>
        <w:jc w:val="both"/>
      </w:pPr>
      <w:r>
        <w:rPr>
          <w:rFonts w:ascii="Calibri" w:hAnsi="Calibri"/>
          <w:b/>
          <w:color w:val="2D3748"/>
          <w:sz w:val="19"/>
        </w:rPr>
        <w:t xml:space="preserve">4. tgn_s2 / tgn_d14 (+0.08 mean |SHAP|): </w:t>
      </w:r>
      <w:r>
        <w:rPr>
          <w:rFonts w:ascii="Calibri" w:hAnsi="Calibri"/>
          <w:color w:val="2D3748"/>
          <w:sz w:val="19"/>
        </w:rPr>
        <w:t>Latent dynamic interaction states capturing counterparty velocity shifts.</w:t>
      </w:r>
    </w:p>
    <w:p>
      <w:pPr>
        <w:keepNext/>
        <w:spacing w:before="120" w:after="40"/>
      </w:pPr>
      <w:r>
        <w:rPr>
          <w:rFonts w:ascii="Calibri" w:hAnsi="Calibri"/>
          <w:b/>
          <w:color w:val="2D3748"/>
          <w:sz w:val="19"/>
        </w:rPr>
        <w:t>Dataset 2 (IBM AML) Attribution</w:t>
      </w:r>
    </w:p>
    <w:p>
      <w:pPr>
        <w:spacing w:after="80" w:line="276" w:lineRule="auto"/>
        <w:jc w:val="both"/>
      </w:pPr>
      <w:r>
        <w:rPr>
          <w:rFonts w:ascii="Calibri" w:hAnsi="Calibri"/>
          <w:i w:val="0"/>
          <w:color w:val="2D3748"/>
          <w:sz w:val="19"/>
        </w:rPr>
        <w:t>In IBM AML, amount-derived lapping features account for 96% of tree decisions:</w:t>
      </w:r>
    </w:p>
    <w:p>
      <w:pPr>
        <w:pStyle w:val="ListBullet"/>
        <w:spacing w:after="60" w:line="276" w:lineRule="auto"/>
        <w:jc w:val="both"/>
      </w:pPr>
      <w:r>
        <w:rPr>
          <w:rFonts w:ascii="Calibri" w:hAnsi="Calibri"/>
          <w:b/>
          <w:color w:val="2D3748"/>
          <w:sz w:val="19"/>
        </w:rPr>
        <w:t xml:space="preserve">1. lap_out_recur (+0.5397 gain share): </w:t>
      </w:r>
      <w:r>
        <w:rPr>
          <w:rFonts w:ascii="Calibri" w:hAnsi="Calibri"/>
          <w:color w:val="2D3748"/>
          <w:sz w:val="19"/>
        </w:rPr>
        <w:t>Systematic recurrence of identical transaction amounts sent across counterparties.</w:t>
      </w:r>
    </w:p>
    <w:p>
      <w:pPr>
        <w:pStyle w:val="ListBullet"/>
        <w:spacing w:after="60" w:line="276" w:lineRule="auto"/>
        <w:jc w:val="both"/>
      </w:pPr>
      <w:r>
        <w:rPr>
          <w:rFonts w:ascii="Calibri" w:hAnsi="Calibri"/>
          <w:b/>
          <w:color w:val="2D3748"/>
          <w:sz w:val="19"/>
        </w:rPr>
        <w:t xml:space="preserve">2. lap_out_payees (+0.4200 gain share): </w:t>
      </w:r>
      <w:r>
        <w:rPr>
          <w:rFonts w:ascii="Calibri" w:hAnsi="Calibri"/>
          <w:color w:val="2D3748"/>
          <w:sz w:val="19"/>
        </w:rPr>
        <w:t>Fan-out structuring (smurfing) across multiple destination mules.</w:t>
      </w:r>
    </w:p>
    <w:p>
      <w:pPr>
        <w:pStyle w:val="ListBullet"/>
        <w:spacing w:after="60" w:line="276" w:lineRule="auto"/>
        <w:jc w:val="both"/>
      </w:pPr>
      <w:r>
        <w:rPr>
          <w:rFonts w:ascii="Calibri" w:hAnsi="Calibri"/>
          <w:b/>
          <w:color w:val="2D3748"/>
          <w:sz w:val="19"/>
        </w:rPr>
        <w:t xml:space="preserve">3. time_since_prev_src: </w:t>
      </w:r>
      <w:r>
        <w:rPr>
          <w:rFonts w:ascii="Calibri" w:hAnsi="Calibri"/>
          <w:color w:val="2D3748"/>
          <w:sz w:val="19"/>
        </w:rPr>
        <w:t>High-frequency transaction bursts violating typical business payment intervals.</w:t>
      </w:r>
    </w:p>
    <w:p>
      <w:pPr>
        <w:keepNext/>
        <w:spacing w:before="120" w:after="40"/>
      </w:pPr>
      <w:r>
        <w:rPr>
          <w:rFonts w:ascii="Calibri" w:hAnsi="Calibri"/>
          <w:b/>
          <w:color w:val="2D3748"/>
          <w:sz w:val="19"/>
        </w:rPr>
        <w:t>Dataset 3 (SAP Würzburg) Attribution</w:t>
      </w:r>
    </w:p>
    <w:p>
      <w:pPr>
        <w:spacing w:after="80" w:line="276" w:lineRule="auto"/>
        <w:jc w:val="both"/>
      </w:pPr>
      <w:r>
        <w:rPr>
          <w:rFonts w:ascii="Calibri" w:hAnsi="Calibri"/>
          <w:i w:val="0"/>
          <w:color w:val="2D3748"/>
          <w:sz w:val="19"/>
        </w:rPr>
        <w:t>In SAP Würzburg, relational accounting document types and ledger classifications govern risk:</w:t>
      </w:r>
    </w:p>
    <w:p>
      <w:pPr>
        <w:pStyle w:val="ListBullet"/>
        <w:spacing w:after="60" w:line="276" w:lineRule="auto"/>
        <w:jc w:val="both"/>
      </w:pPr>
      <w:r>
        <w:rPr>
          <w:rFonts w:ascii="Calibri" w:hAnsi="Calibri"/>
          <w:b/>
          <w:color w:val="2D3748"/>
          <w:sz w:val="19"/>
        </w:rPr>
        <w:t xml:space="preserve">1. tx_type_Materialzugang (SHAP +1.16): </w:t>
      </w:r>
      <w:r>
        <w:rPr>
          <w:rFonts w:ascii="Calibri" w:hAnsi="Calibri"/>
          <w:color w:val="2D3748"/>
          <w:sz w:val="19"/>
        </w:rPr>
        <w:t>High-risk goods receipt postings without matching purchase orders.</w:t>
      </w:r>
    </w:p>
    <w:p>
      <w:pPr>
        <w:pStyle w:val="ListBullet"/>
        <w:spacing w:after="60" w:line="276" w:lineRule="auto"/>
        <w:jc w:val="both"/>
      </w:pPr>
      <w:r>
        <w:rPr>
          <w:rFonts w:ascii="Calibri" w:hAnsi="Calibri"/>
          <w:b/>
          <w:color w:val="2D3748"/>
          <w:sz w:val="19"/>
        </w:rPr>
        <w:t xml:space="preserve">2. account_type_D (SHAP +0.48): </w:t>
      </w:r>
      <w:r>
        <w:rPr>
          <w:rFonts w:ascii="Calibri" w:hAnsi="Calibri"/>
          <w:color w:val="2D3748"/>
          <w:sz w:val="19"/>
        </w:rPr>
        <w:t>Direct vendor/customer balance sheet line postings bypassing automated subledgers.</w:t>
      </w:r>
    </w:p>
    <w:p>
      <w:pPr>
        <w:pStyle w:val="ListBullet"/>
        <w:spacing w:after="60" w:line="276" w:lineRule="auto"/>
        <w:jc w:val="both"/>
      </w:pPr>
      <w:r>
        <w:rPr>
          <w:rFonts w:ascii="Calibri" w:hAnsi="Calibri"/>
          <w:b/>
          <w:color w:val="2D3748"/>
          <w:sz w:val="19"/>
        </w:rPr>
        <w:t xml:space="preserve">3. fan_in (SHAP +0.30): </w:t>
      </w:r>
      <w:r>
        <w:rPr>
          <w:rFonts w:ascii="Calibri" w:hAnsi="Calibri"/>
          <w:color w:val="2D3748"/>
          <w:sz w:val="19"/>
        </w:rPr>
        <w:t>Mass settlement accounts aggregating anomalous general ledger vouchers.</w:t>
      </w:r>
    </w:p>
    <w:p>
      <w:pPr>
        <w:keepNext/>
        <w:spacing w:before="240" w:after="60"/>
      </w:pPr>
      <w:r>
        <w:rPr>
          <w:rFonts w:ascii="Calibri" w:hAnsi="Calibri"/>
          <w:b/>
          <w:color w:val="1B365D"/>
          <w:sz w:val="23"/>
        </w:rPr>
        <w:t>5. Production System Verification and Enterprise Audit Console</w:t>
      </w:r>
    </w:p>
    <w:p>
      <w:pPr>
        <w:spacing w:after="80" w:line="276" w:lineRule="auto"/>
        <w:jc w:val="both"/>
      </w:pPr>
      <w:r>
        <w:rPr>
          <w:rFonts w:ascii="Calibri" w:hAnsi="Calibri"/>
          <w:i w:val="0"/>
          <w:color w:val="2D3748"/>
          <w:sz w:val="19"/>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2971800" cy="1828800"/>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2971800" cy="1828800"/>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19"/>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2971800" cy="1545336"/>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2971800" cy="1545336"/>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19"/>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3"/>
        </w:rPr>
        <w:t>6. Conclusion</w:t>
      </w:r>
    </w:p>
    <w:p>
      <w:pPr>
        <w:spacing w:after="80" w:line="276" w:lineRule="auto"/>
        <w:jc w:val="both"/>
      </w:pPr>
      <w:r>
        <w:rPr>
          <w:rFonts w:ascii="Calibri" w:hAnsi="Calibri"/>
          <w:i w:val="0"/>
          <w:color w:val="2D3748"/>
          <w:sz w:val="19"/>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3"/>
        </w:rPr>
        <w:t>References</w:t>
      </w:r>
    </w:p>
    <w:p>
      <w:pPr>
        <w:spacing w:after="40" w:line="276" w:lineRule="auto"/>
        <w:ind w:left="360"/>
        <w:jc w:val="both"/>
      </w:pPr>
      <w:r>
        <w:rPr>
          <w:rFonts w:ascii="Calibri" w:hAnsi="Calibri"/>
          <w:color w:val="2D3748"/>
          <w:sz w:val="17"/>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7"/>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7"/>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7"/>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7"/>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7"/>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7"/>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7"/>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7"/>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7"/>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7"/>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7"/>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7"/>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7"/>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7"/>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7"/>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7"/>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7"/>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7"/>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7"/>
        </w:rPr>
        <w:t>[20] B. P. Welford, "Note on a method for calculating corrected sums of squares and products," Technometrics, vol. 4, no. 3, pp. 419–420, 1962.</w:t>
      </w:r>
    </w:p>
    <w:sectPr w:rsidR="00FC693F" w:rsidRPr="0006063C" w:rsidSect="00034616">
      <w:pgSz w:w="12240" w:h="15840"/>
      <w:pgMar w:top="1080" w:right="1080" w:bottom="1080" w:left="1080" w:header="576" w:footer="576"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