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4"/>
        </w:rPr>
        <w:t>ChronoSentry: Leakage-Free Temporal Graph Topology for Streaming ERP Fraud Detection, with a Production Continuous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ChronoSentry (Chronologically-Hardened Sentry for Streaming Ledger Forensics): an end-to-end framework featuring a leakage-free streaming temporal-topology feature engine that enforces a formal read-then-insert invariant so that a transaction's features can never depend on information from its own future. We subject ChronoSentry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temporal graph network (TGN) does not beat hand-crafted topology on real data, and that naive synthetic-data augmentation measurably harms real-dataset performance. Furthermore, to address cross-institutional banking privacy barriers (GDPR/GLBA), ChronoSentry introduces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federated learning, synthetic data, ChronoSentry.</w:t>
      </w:r>
    </w:p>
    <w:p>
      <w:pPr>
        <w:keepNext/>
        <w:spacing w:before="240" w:after="60"/>
      </w:pPr>
      <w:r>
        <w:rPr>
          <w:rFonts w:ascii="Calibri" w:hAnsi="Calibri"/>
          <w:b/>
          <w:color w:val="1B365D"/>
          <w:sz w:val="25"/>
        </w:rPr>
        <w:t>1. Introduction and Related Work</w:t>
      </w:r>
    </w:p>
    <w:p>
      <w:pPr>
        <w:spacing w:after="80" w:line="276" w:lineRule="auto"/>
        <w:jc w:val="both"/>
      </w:pPr>
      <w:r>
        <w:rPr>
          <w:rFonts w:ascii="Calibri" w:hAnsi="Calibri"/>
          <w:i w:val="0"/>
          <w:color w:val="2D3748"/>
          <w:sz w:val="20"/>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[2].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80" w:line="276" w:lineRule="auto"/>
        <w:jc w:val="both"/>
      </w:pPr>
      <w:r>
        <w:rPr>
          <w:rFonts w:ascii="Calibri" w:hAnsi="Calibri"/>
          <w:i w:val="0"/>
          <w:color w:val="2D3748"/>
          <w:sz w:val="20"/>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pStyle w:val="ListBullet"/>
        <w:spacing w:after="60" w:line="276" w:lineRule="auto"/>
        <w:jc w:val="both"/>
      </w:pPr>
      <w:r>
        <w:rPr>
          <w:rFonts w:ascii="Calibri" w:hAnsi="Calibri"/>
          <w:b/>
          <w:color w:val="2D3748"/>
          <w:sz w:val="20"/>
        </w:rPr>
        <w:t xml:space="preserve">1. Pervasive Temporal Leakage: </w:t>
      </w:r>
      <w:r>
        <w:rPr>
          <w:rFonts w:ascii="Calibri" w:hAnsi="Calibri"/>
          <w:color w:val="2D3748"/>
          <w:sz w:val="20"/>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pStyle w:val="ListBullet"/>
        <w:spacing w:after="60" w:line="276" w:lineRule="auto"/>
        <w:jc w:val="both"/>
      </w:pPr>
      <w:r>
        <w:rPr>
          <w:rFonts w:ascii="Calibri" w:hAnsi="Calibri"/>
          <w:b/>
          <w:color w:val="2D3748"/>
          <w:sz w:val="20"/>
        </w:rPr>
        <w:t xml:space="preserve">2. Absent Ablation Discipline: </w:t>
      </w:r>
      <w:r>
        <w:rPr>
          <w:rFonts w:ascii="Calibri" w:hAnsi="Calibri"/>
          <w:color w:val="2D3748"/>
          <w:sz w:val="20"/>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 [17, 19].</w:t>
      </w:r>
    </w:p>
    <w:p>
      <w:pPr>
        <w:pStyle w:val="ListBullet"/>
        <w:spacing w:after="60" w:line="276" w:lineRule="auto"/>
        <w:jc w:val="both"/>
      </w:pPr>
      <w:r>
        <w:rPr>
          <w:rFonts w:ascii="Calibri" w:hAnsi="Calibri"/>
          <w:b/>
          <w:color w:val="2D3748"/>
          <w:sz w:val="20"/>
        </w:rPr>
        <w:t xml:space="preserve">3. Uninterpretable Black-Box Deployments: </w:t>
      </w:r>
      <w:r>
        <w:rPr>
          <w:rFonts w:ascii="Calibri" w:hAnsi="Calibri"/>
          <w:color w:val="2D3748"/>
          <w:sz w:val="20"/>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 18].</w:t>
      </w:r>
    </w:p>
    <w:p>
      <w:pPr>
        <w:spacing w:after="80" w:line="276" w:lineRule="auto"/>
        <w:jc w:val="both"/>
      </w:pPr>
      <w:r>
        <w:rPr>
          <w:rFonts w:ascii="Calibri" w:hAnsi="Calibri"/>
          <w:i w:val="0"/>
          <w:color w:val="2D3748"/>
          <w:sz w:val="20"/>
        </w:rPr>
        <w:t>To resolve these challenges, this paper presents ChronoSentry (Chronologically-Hardened Sentry for Streaming Ledger Forensics): a comprehensive framework combining a streaming, leakage-free temporal topology engine, exact tree-native explainability, privacy-preserving federated score consensus, and an enterprise-grade continuous auditing console.</w:t>
      </w:r>
    </w:p>
    <w:p>
      <w:pPr>
        <w:keepNext/>
        <w:spacing w:before="240" w:after="60"/>
      </w:pPr>
      <w:r>
        <w:rPr>
          <w:rFonts w:ascii="Calibri" w:hAnsi="Calibri"/>
          <w:b/>
          <w:color w:val="1B365D"/>
          <w:sz w:val="25"/>
        </w:rPr>
        <w:t>2. System and Research Foundations</w:t>
      </w:r>
    </w:p>
    <w:p>
      <w:pPr>
        <w:spacing w:after="80" w:line="276" w:lineRule="auto"/>
        <w:jc w:val="both"/>
      </w:pPr>
      <w:r>
        <w:rPr>
          <w:rFonts w:ascii="Calibri" w:hAnsi="Calibri"/>
          <w:i w:val="0"/>
          <w:color w:val="2D3748"/>
          <w:sz w:val="20"/>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5"/>
        </w:rPr>
        <w:t>3. Proposed Model (ChronoSentry)</w:t>
      </w:r>
    </w:p>
    <w:p>
      <w:pPr>
        <w:keepNext/>
        <w:spacing w:before="120" w:after="40"/>
        <w:jc w:val="center"/>
      </w:pPr>
      <w:r>
        <w:drawing>
          <wp:inline xmlns:a="http://schemas.openxmlformats.org/drawingml/2006/main" xmlns:pic="http://schemas.openxmlformats.org/drawingml/2006/picture">
            <wp:extent cx="5852160" cy="1839250"/>
            <wp:docPr id="1" name="Picture 1"/>
            <wp:cNvGraphicFramePr>
              <a:graphicFrameLocks noChangeAspect="1"/>
            </wp:cNvGraphicFramePr>
            <a:graphic>
              <a:graphicData uri="http://schemas.openxmlformats.org/drawingml/2006/picture">
                <pic:pic>
                  <pic:nvPicPr>
                    <pic:cNvPr id="0" name="pipeline_overview.png"/>
                    <pic:cNvPicPr/>
                  </pic:nvPicPr>
                  <pic:blipFill>
                    <a:blip r:embed="rId11"/>
                    <a:stretch>
                      <a:fillRect/>
                    </a:stretch>
                  </pic:blipFill>
                  <pic:spPr>
                    <a:xfrm>
                      <a:off x="0" y="0"/>
                      <a:ext cx="5852160" cy="1839250"/>
                    </a:xfrm>
                    <a:prstGeom prst="rect"/>
                  </pic:spPr>
                </pic:pic>
              </a:graphicData>
            </a:graphic>
          </wp:inline>
        </w:drawing>
      </w:r>
    </w:p>
    <w:p>
      <w:pPr>
        <w:spacing w:before="40" w:after="160"/>
        <w:jc w:val="both"/>
      </w:pPr>
      <w:r>
        <w:rPr>
          <w:rFonts w:ascii="Calibri" w:hAnsi="Calibri"/>
          <w:i/>
          <w:color w:val="2D3748"/>
          <w:sz w:val="17"/>
        </w:rPr>
        <w:t>Fig. 1: End-to-end architectural pipeline of the ChronoSentry framework: from raw ERP/banking transaction ingestion and bipartite graph projection, through the streaming leakage-free temporal topology engine and continuous TGN embedding extraction, to imbalance-aware gradient-boosted tree scoring, TreeSHAP forensic alert packet synthesis, and privacy-preserving federated consensus.</w:t>
      </w:r>
    </w:p>
    <w:p>
      <w:pPr>
        <w:keepNext/>
        <w:spacing w:before="160" w:after="40"/>
      </w:pPr>
      <w:r>
        <w:rPr>
          <w:rFonts w:ascii="Calibri" w:hAnsi="Calibri"/>
          <w:b/>
          <w:color w:val="2B6CB0"/>
          <w:sz w:val="22"/>
        </w:rPr>
        <w:t>i. Architecture</w:t>
      </w:r>
    </w:p>
    <w:p>
      <w:pPr>
        <w:spacing w:after="80" w:line="276" w:lineRule="auto"/>
        <w:jc w:val="both"/>
      </w:pPr>
      <w:r>
        <w:rPr>
          <w:rFonts w:ascii="Calibri" w:hAnsi="Calibri"/>
          <w:i w:val="0"/>
          <w:color w:val="2D3748"/>
          <w:sz w:val="20"/>
        </w:rPr>
        <w:t>The proposed ChronoSentry architecture bridges dynamic transactional multigraphs, continuous temporal graph representations, gradient-boosted decision trees, and regulatory forensic auditing (Fig. 1). We model the incoming transactional ledger as a directed temporal streaming multigraph:</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𝔊 = (𝒜, 𝒳, 𝕋)</w:t>
            </w:r>
            <w:r>
              <w:rPr>
                <w:rFonts w:ascii="Calibri" w:hAnsi="Calibri"/>
                <w:i/>
                <w:color w:val="718096"/>
                <w:sz w:val="19"/>
              </w:rPr>
              <w:t xml:space="preserve">    (1)</w:t>
            </w:r>
          </w:p>
        </w:tc>
      </w:tr>
    </w:tbl>
    <w:p>
      <w:pPr>
        <w:spacing w:after="40"/>
      </w:pPr>
    </w:p>
    <w:p>
      <w:pPr>
        <w:spacing w:after="80" w:line="276" w:lineRule="auto"/>
        <w:jc w:val="both"/>
      </w:pPr>
      <w:r>
        <w:rPr>
          <w:rFonts w:ascii="Calibri" w:hAnsi="Calibri"/>
          <w:i w:val="0"/>
          <w:color w:val="2D3748"/>
          <w:sz w:val="20"/>
        </w:rPr>
        <w:t>where 𝒜 = {α_1, α_2, ..., α_|𝒜|} denotes the universe of financial ledger accounts, counterparties, or general-ledger entities, and 𝕋 = {τ_1, τ_2, ...} ⊂ ℕ represents strictly ordered epoch posting timestamps (τ_k ≤ τ_{k+1}).</w:t>
      </w:r>
    </w:p>
    <w:p>
      <w:pPr>
        <w:spacing w:after="80" w:line="276" w:lineRule="auto"/>
        <w:jc w:val="both"/>
      </w:pPr>
      <w:r>
        <w:rPr>
          <w:rFonts w:ascii="Calibri" w:hAnsi="Calibri"/>
          <w:i w:val="0"/>
          <w:color w:val="2D3748"/>
          <w:sz w:val="20"/>
        </w:rPr>
        <w:t>Each transactional edge is represented as an ordered quintuple:</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ξ_k = (𝔰_k, 𝔡_k, τ_k, ν_k, c_k) ∈ 𝒳</w:t>
            </w:r>
            <w:r>
              <w:rPr>
                <w:rFonts w:ascii="Calibri" w:hAnsi="Calibri"/>
                <w:i/>
                <w:color w:val="718096"/>
                <w:sz w:val="19"/>
              </w:rPr>
              <w:t xml:space="preserve">    (2)</w:t>
            </w:r>
          </w:p>
        </w:tc>
      </w:tr>
    </w:tbl>
    <w:p>
      <w:pPr>
        <w:spacing w:after="40"/>
      </w:pPr>
    </w:p>
    <w:p>
      <w:pPr>
        <w:spacing w:after="80" w:line="276" w:lineRule="auto"/>
        <w:jc w:val="both"/>
      </w:pPr>
      <w:r>
        <w:rPr>
          <w:rFonts w:ascii="Calibri" w:hAnsi="Calibri"/>
          <w:i w:val="0"/>
          <w:color w:val="2D3748"/>
          <w:sz w:val="20"/>
        </w:rPr>
        <w:t>where 𝔰_k ∈ 𝒜 is the debiting source entity, 𝔡_k ∈ 𝒜 is the crediting destination counterparty, τ_k ∈ 𝕋 is the posting epoch timestamp, ν_k ∈ ℝ^+ is the positive monetary transfer volume, and c_k ∈ ℝ^{d_c} encodes ledger categorical attributes (posting key, document voucher type). Unlike Rossi et al. [4] who define dynamic interaction graphs with generic vertex indices (u, v) and continuous time vectors e_{uv}(t), our formulation explicitly anchors monetary flow ν_k and accounting metadata c_k over discrete ledger spaces 𝒜.</w:t>
      </w:r>
    </w:p>
    <w:p>
      <w:pPr>
        <w:spacing w:after="80" w:line="276" w:lineRule="auto"/>
        <w:jc w:val="both"/>
      </w:pPr>
      <w:r>
        <w:rPr>
          <w:rFonts w:ascii="Calibri" w:hAnsi="Calibri"/>
          <w:i w:val="0"/>
          <w:color w:val="2D3748"/>
          <w:sz w:val="20"/>
        </w:rPr>
        <w:t>ChronoSentry comprises six tightly coupled operational modules:</w:t>
      </w:r>
    </w:p>
    <w:p>
      <w:pPr>
        <w:pStyle w:val="ListBullet"/>
        <w:spacing w:after="60" w:line="276" w:lineRule="auto"/>
        <w:jc w:val="both"/>
      </w:pPr>
      <w:r>
        <w:rPr>
          <w:rFonts w:ascii="Calibri" w:hAnsi="Calibri"/>
          <w:b/>
          <w:color w:val="2D3748"/>
          <w:sz w:val="20"/>
        </w:rPr>
        <w:t xml:space="preserve">1. Chronological Ingestion &amp; Graph Projection: </w:t>
      </w:r>
      <w:r>
        <w:rPr>
          <w:rFonts w:ascii="Calibri" w:hAnsi="Calibri"/>
          <w:color w:val="2D3748"/>
          <w:sz w:val="20"/>
        </w:rPr>
        <w:t>Sequentially maps continuous transactions to dynamic graph edges under strict time sorting.</w:t>
      </w:r>
    </w:p>
    <w:p>
      <w:pPr>
        <w:pStyle w:val="ListBullet"/>
        <w:spacing w:after="60" w:line="276" w:lineRule="auto"/>
        <w:jc w:val="both"/>
      </w:pPr>
      <w:r>
        <w:rPr>
          <w:rFonts w:ascii="Calibri" w:hAnsi="Calibri"/>
          <w:b/>
          <w:color w:val="2D3748"/>
          <w:sz w:val="20"/>
        </w:rPr>
        <w:t xml:space="preserve">2. Streaming Leakage-Free Topology Engine: </w:t>
      </w:r>
      <w:r>
        <w:rPr>
          <w:rFonts w:ascii="Calibri" w:hAnsi="Calibri"/>
          <w:color w:val="2D3748"/>
          <w:sz w:val="20"/>
        </w:rPr>
        <w:t>Evaluates sliding-window structural metrics solely against historical graph state 𝔊_{&lt; τ_k}.</w:t>
      </w:r>
    </w:p>
    <w:p>
      <w:pPr>
        <w:pStyle w:val="ListBullet"/>
        <w:spacing w:after="60" w:line="276" w:lineRule="auto"/>
        <w:jc w:val="both"/>
      </w:pPr>
      <w:r>
        <w:rPr>
          <w:rFonts w:ascii="Calibri" w:hAnsi="Calibri"/>
          <w:b/>
          <w:color w:val="2D3748"/>
          <w:sz w:val="20"/>
        </w:rPr>
        <w:t xml:space="preserve">3. Continuous Dynamic Graph Representation: </w:t>
      </w:r>
      <w:r>
        <w:rPr>
          <w:rFonts w:ascii="Calibri" w:hAnsi="Calibri"/>
          <w:color w:val="2D3748"/>
          <w:sz w:val="20"/>
        </w:rPr>
        <w:t>Maintains continuous-time node memory states via a Temporal Graph Network (TGN).</w:t>
      </w:r>
    </w:p>
    <w:p>
      <w:pPr>
        <w:pStyle w:val="ListBullet"/>
        <w:spacing w:after="60" w:line="276" w:lineRule="auto"/>
        <w:jc w:val="both"/>
      </w:pPr>
      <w:r>
        <w:rPr>
          <w:rFonts w:ascii="Calibri" w:hAnsi="Calibri"/>
          <w:b/>
          <w:color w:val="2D3748"/>
          <w:sz w:val="20"/>
        </w:rPr>
        <w:t xml:space="preserve">4. Imbalance-Calibrated Ensemble Classifier: </w:t>
      </w:r>
      <w:r>
        <w:rPr>
          <w:rFonts w:ascii="Calibri" w:hAnsi="Calibri"/>
          <w:color w:val="2D3748"/>
          <w:sz w:val="20"/>
        </w:rPr>
        <w:t>Scores transactions via an XGBoost gradient-boosted decision tree head optimized with an α-free focal loss.</w:t>
      </w:r>
    </w:p>
    <w:p>
      <w:pPr>
        <w:pStyle w:val="ListBullet"/>
        <w:spacing w:after="60" w:line="276" w:lineRule="auto"/>
        <w:jc w:val="both"/>
      </w:pPr>
      <w:r>
        <w:rPr>
          <w:rFonts w:ascii="Calibri" w:hAnsi="Calibri"/>
          <w:b/>
          <w:color w:val="2D3748"/>
          <w:sz w:val="20"/>
        </w:rPr>
        <w:t xml:space="preserve">5. Privacy-Preserving Federated Consensus: </w:t>
      </w:r>
      <w:r>
        <w:rPr>
          <w:rFonts w:ascii="Calibri" w:hAnsi="Calibri"/>
          <w:color w:val="2D3748"/>
          <w:sz w:val="20"/>
        </w:rPr>
        <w:t>Aggregates decentralized bank models via validation reliability weighting (FedProx).</w:t>
      </w:r>
    </w:p>
    <w:p>
      <w:pPr>
        <w:pStyle w:val="ListBullet"/>
        <w:spacing w:after="60" w:line="276" w:lineRule="auto"/>
        <w:jc w:val="both"/>
      </w:pPr>
      <w:r>
        <w:rPr>
          <w:rFonts w:ascii="Calibri" w:hAnsi="Calibri"/>
          <w:b/>
          <w:color w:val="2D3748"/>
          <w:sz w:val="20"/>
        </w:rPr>
        <w:t xml:space="preserve">6. Forensic Explainability &amp; Alert Synthesis: </w:t>
      </w:r>
      <w:r>
        <w:rPr>
          <w:rFonts w:ascii="Calibri" w:hAnsi="Calibri"/>
          <w:color w:val="2D3748"/>
          <w:sz w:val="20"/>
        </w:rPr>
        <w:t>Computes exact margin-space TreeSHAP feature attributions and extracts 2-hop causal subgraphs via Neo4j Cypher queries.</w:t>
      </w:r>
    </w:p>
    <w:p>
      <w:pPr>
        <w:keepNext/>
        <w:spacing w:before="160" w:after="40"/>
      </w:pPr>
      <w:r>
        <w:rPr>
          <w:rFonts w:ascii="Calibri" w:hAnsi="Calibri"/>
          <w:b/>
          <w:color w:val="2B6CB0"/>
          <w:sz w:val="22"/>
        </w:rPr>
        <w:t>ii. Preprocessing</w:t>
      </w:r>
    </w:p>
    <w:p>
      <w:pPr>
        <w:spacing w:after="80" w:line="276" w:lineRule="auto"/>
        <w:jc w:val="both"/>
      </w:pPr>
      <w:r>
        <w:rPr>
          <w:rFonts w:ascii="Calibri" w:hAnsi="Calibri"/>
          <w:i w:val="0"/>
          <w:color w:val="2D3748"/>
          <w:sz w:val="20"/>
        </w:rPr>
        <w:t>All financial transaction data is processed through a deterministic, strictly causal pipeline:</w:t>
      </w:r>
    </w:p>
    <w:p>
      <w:pPr>
        <w:pStyle w:val="ListBullet"/>
        <w:spacing w:after="60" w:line="276" w:lineRule="auto"/>
        <w:jc w:val="both"/>
      </w:pPr>
      <w:r>
        <w:rPr>
          <w:rFonts w:ascii="Calibri" w:hAnsi="Calibri"/>
          <w:b/>
          <w:color w:val="2D3748"/>
          <w:sz w:val="20"/>
        </w:rPr>
        <w:t xml:space="preserve">1. Type Normalization: </w:t>
      </w:r>
      <w:r>
        <w:rPr>
          <w:rFonts w:ascii="Calibri" w:hAnsi="Calibri"/>
          <w:color w:val="2D3748"/>
          <w:sz w:val="20"/>
        </w:rPr>
        <w:t>Timestamps are coerced to integer epoch seconds; monetary amounts ν_k &gt; 0 are converted to double-precision floats; categorical metadata are dictionary-encoded with reserved unseen-category indices.</w:t>
      </w:r>
    </w:p>
    <w:p>
      <w:pPr>
        <w:pStyle w:val="ListBullet"/>
        <w:spacing w:after="60" w:line="276" w:lineRule="auto"/>
        <w:jc w:val="both"/>
      </w:pPr>
      <w:r>
        <w:rPr>
          <w:rFonts w:ascii="Calibri" w:hAnsi="Calibri"/>
          <w:b/>
          <w:color w:val="2D3748"/>
          <w:sz w:val="20"/>
        </w:rPr>
        <w:t xml:space="preserve">2. Chronological Partitioning: </w:t>
      </w:r>
      <w:r>
        <w:rPr>
          <w:rFonts w:ascii="Calibri" w:hAnsi="Calibri"/>
          <w:color w:val="2D3748"/>
          <w:sz w:val="20"/>
        </w:rPr>
        <w:t>Transactions are sorted by the composite key (τ_k, tx_id). The data is partitioned into strictly ordered chronological splits: 60% training (τ &lt; T_1), 20% validation (T_1 ≤ τ &lt; T_2), and 20% held-out test (τ ≥ T_2). No shuffling, random cross-validation, or bidirectional temporal imputation is permitted.</w:t>
      </w:r>
    </w:p>
    <w:p>
      <w:pPr>
        <w:pStyle w:val="ListBullet"/>
        <w:spacing w:after="60" w:line="276" w:lineRule="auto"/>
        <w:jc w:val="both"/>
      </w:pPr>
      <w:r>
        <w:rPr>
          <w:rFonts w:ascii="Calibri" w:hAnsi="Calibri"/>
          <w:b/>
          <w:color w:val="2D3748"/>
          <w:sz w:val="20"/>
        </w:rPr>
        <w:t xml:space="preserve">3. Expanding Sequential Estimators: </w:t>
      </w:r>
      <w:r>
        <w:rPr>
          <w:rFonts w:ascii="Calibri" w:hAnsi="Calibri"/>
          <w:color w:val="2D3748"/>
          <w:sz w:val="20"/>
        </w:rPr>
        <w:t>All feature scaling factors and running z-scores are computed using an entity-conditioned expanding estimator [20] over the causal historical set ℍ_k(𝔰_k) = {j &lt; k : 𝔰_j = 𝔰_k} with cardinality n_k = |ℍ_k(𝔰_k)| + 1:</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ν̄_k = ν̄_{k-1} + (ν_k - ν̄_{k-1}) / n_k</w:t>
            </w:r>
            <w:r>
              <w:rPr>
                <w:rFonts w:ascii="Calibri" w:hAnsi="Calibri"/>
                <w:i/>
                <w:color w:val="718096"/>
                <w:sz w:val="19"/>
              </w:rPr>
              <w:t xml:space="preserve">    (3)</w:t>
            </w:r>
          </w:p>
        </w:tc>
      </w:tr>
    </w:tbl>
    <w:p>
      <w:pPr>
        <w:spacing w:after="40"/>
      </w:pP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𝒬_k = 𝒬_{k-1} + (ν_k - ν̄_{k-1})(ν_k - ν̄_k)</w:t>
            </w:r>
            <w:r>
              <w:rPr>
                <w:rFonts w:ascii="Calibri" w:hAnsi="Calibri"/>
                <w:i/>
                <w:color w:val="718096"/>
                <w:sz w:val="19"/>
              </w:rPr>
              <w:t xml:space="preserve">    (4)</w:t>
            </w:r>
          </w:p>
        </w:tc>
      </w:tr>
    </w:tbl>
    <w:p>
      <w:pPr>
        <w:spacing w:after="40"/>
      </w:pP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ζ_k = (ν_k - ν̄_k) / sqrt(𝒬_k / max(1, n_k - 1) + ε_reg)</w:t>
            </w:r>
            <w:r>
              <w:rPr>
                <w:rFonts w:ascii="Calibri" w:hAnsi="Calibri"/>
                <w:i/>
                <w:color w:val="718096"/>
                <w:sz w:val="19"/>
              </w:rPr>
              <w:t xml:space="preserve">    (5)</w:t>
            </w:r>
          </w:p>
        </w:tc>
      </w:tr>
    </w:tbl>
    <w:p>
      <w:pPr>
        <w:spacing w:after="40"/>
      </w:pPr>
    </w:p>
    <w:p>
      <w:pPr>
        <w:spacing w:after="80" w:line="276" w:lineRule="auto"/>
        <w:jc w:val="both"/>
      </w:pPr>
      <w:r>
        <w:rPr>
          <w:rFonts w:ascii="Calibri" w:hAnsi="Calibri"/>
          <w:i w:val="0"/>
          <w:color w:val="2D3748"/>
          <w:sz w:val="20"/>
        </w:rPr>
        <w:t>where ζ_k is the running historical z-score and ε_reg = 10^-6 guarantees numerical stability under zero-variance initialization. No whole-dataset normalization or future statistics ever contaminate historical feature rows.</w:t>
      </w:r>
    </w:p>
    <w:p>
      <w:pPr>
        <w:keepNext/>
        <w:spacing w:before="160" w:after="40"/>
      </w:pPr>
      <w:r>
        <w:rPr>
          <w:rFonts w:ascii="Calibri" w:hAnsi="Calibri"/>
          <w:b/>
          <w:color w:val="2B6CB0"/>
          <w:sz w:val="22"/>
        </w:rPr>
        <w:t>iii. Feature Analysis</w:t>
      </w:r>
    </w:p>
    <w:p>
      <w:pPr>
        <w:spacing w:after="80" w:line="276" w:lineRule="auto"/>
        <w:jc w:val="both"/>
      </w:pPr>
      <w:r>
        <w:rPr>
          <w:rFonts w:ascii="Calibri" w:hAnsi="Calibri"/>
          <w:i w:val="0"/>
          <w:color w:val="2D3748"/>
          <w:sz w:val="20"/>
        </w:rPr>
        <w:t>Each transaction ξ_k is mapped to a composite feature representation:</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Φ(ξ_k) = ψ_tab(ξ_k) ⊕ Ω_topo(ξ_k, 𝔊_{&lt; τ_k}^(W)) ⊕ h_dyn(ξ_k, τ_k) ∈ ℝ^D</w:t>
            </w:r>
            <w:r>
              <w:rPr>
                <w:rFonts w:ascii="Calibri" w:hAnsi="Calibri"/>
                <w:i/>
                <w:color w:val="718096"/>
                <w:sz w:val="19"/>
              </w:rPr>
              <w:t xml:space="preserve">    (6)</w:t>
            </w:r>
          </w:p>
        </w:tc>
      </w:tr>
    </w:tbl>
    <w:p>
      <w:pPr>
        <w:spacing w:after="40"/>
      </w:pPr>
    </w:p>
    <w:p>
      <w:pPr>
        <w:spacing w:after="80" w:line="276" w:lineRule="auto"/>
        <w:jc w:val="both"/>
      </w:pPr>
      <w:r>
        <w:rPr>
          <w:rFonts w:ascii="Calibri" w:hAnsi="Calibri"/>
          <w:i w:val="0"/>
          <w:color w:val="2D3748"/>
          <w:sz w:val="20"/>
        </w:rPr>
        <w:t>across three distinct taxonomic families:</w:t>
      </w:r>
    </w:p>
    <w:p>
      <w:pPr>
        <w:pStyle w:val="ListBullet"/>
        <w:spacing w:after="60" w:line="276" w:lineRule="auto"/>
        <w:jc w:val="both"/>
      </w:pPr>
      <w:r>
        <w:rPr>
          <w:rFonts w:ascii="Calibri" w:hAnsi="Calibri"/>
          <w:b/>
          <w:color w:val="2D3748"/>
          <w:sz w:val="20"/>
        </w:rPr>
        <w:t xml:space="preserve">1. Ordinary Tabular Features (ψ_tab): </w:t>
      </w:r>
      <w:r>
        <w:rPr>
          <w:rFonts w:ascii="Calibri" w:hAnsi="Calibri"/>
          <w:color w:val="2D3748"/>
          <w:sz w:val="20"/>
        </w:rPr>
        <w:t>log_10(ν_k + 1), running causal z-scores ζ_k, diurnal periodic encodings (sin(2π ℏ_k / 24), cos(2π ℏ_k / 24)) where ℏ_k is posting hour, and inter-event arrival deltas Δτ_k = τ_k - τ_last(𝔰_k).</w:t>
      </w:r>
    </w:p>
    <w:p>
      <w:pPr>
        <w:pStyle w:val="ListBullet"/>
        <w:spacing w:after="60" w:line="276" w:lineRule="auto"/>
        <w:jc w:val="both"/>
      </w:pPr>
      <w:r>
        <w:rPr>
          <w:rFonts w:ascii="Calibri" w:hAnsi="Calibri"/>
          <w:b/>
          <w:color w:val="2D3748"/>
          <w:sz w:val="20"/>
        </w:rPr>
        <w:t xml:space="preserve">2. Handcrafted Streaming Topology (Ω_topo): </w:t>
      </w:r>
      <w:r>
        <w:rPr>
          <w:rFonts w:ascii="Calibri" w:hAnsi="Calibri"/>
          <w:color w:val="2D3748"/>
          <w:sz w:val="20"/>
        </w:rPr>
        <w:t>Thirteen structural and behavioral features extracted dynamically by the streaming engine over trailing windows W ∈ {1d, 7d, 30d}: source out-degree, destination in-degree, fan-in ratio, fan-out ratio, counterparty reciprocity, burstiness velocity (deg_1d/deg_7d), amount recurrence count (LapMemory), and directed length-3 and length-4 cycle counts.</w:t>
      </w:r>
    </w:p>
    <w:p>
      <w:pPr>
        <w:pStyle w:val="ListBullet"/>
        <w:spacing w:after="60" w:line="276" w:lineRule="auto"/>
        <w:jc w:val="both"/>
      </w:pPr>
      <w:r>
        <w:rPr>
          <w:rFonts w:ascii="Calibri" w:hAnsi="Calibri"/>
          <w:b/>
          <w:color w:val="2D3748"/>
          <w:sz w:val="20"/>
        </w:rPr>
        <w:t xml:space="preserve">3. Continuous Dynamic Graph Embeddings (h_dyn): </w:t>
      </w:r>
      <w:r>
        <w:rPr>
          <w:rFonts w:ascii="Calibri" w:hAnsi="Calibri"/>
          <w:color w:val="2D3748"/>
          <w:sz w:val="20"/>
        </w:rPr>
        <w:t>16-dimensional continuous-time latent representations produced by a Temporal Graph Network (TGN) [4], encoding sequential memory states and interaction dynamics between counterparties.</w:t>
      </w:r>
    </w:p>
    <w:p>
      <w:pPr>
        <w:spacing w:after="80" w:line="276" w:lineRule="auto"/>
        <w:jc w:val="both"/>
      </w:pPr>
      <w:r>
        <w:rPr>
          <w:rFonts w:ascii="Calibri" w:hAnsi="Calibri"/>
          <w:i w:val="0"/>
          <w:color w:val="2D3748"/>
          <w:sz w:val="20"/>
        </w:rPr>
        <w:t>The Read-Then-Insert Execution Invariant: To guarantee zero lookahead leakage, the engine enforces a strict structural invariant over the trailing causal subgraph:</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𝔊_{&lt; τ_k}^(W) = { ξ_j ∈ 𝒳 : τ_k - W ≤ τ_j &lt; τ_k }</w:t>
            </w:r>
            <w:r>
              <w:rPr>
                <w:rFonts w:ascii="Calibri" w:hAnsi="Calibri"/>
                <w:i/>
                <w:color w:val="718096"/>
                <w:sz w:val="19"/>
              </w:rPr>
              <w:t xml:space="preserve">    (7)</w:t>
            </w:r>
          </w:p>
        </w:tc>
      </w:tr>
    </w:tbl>
    <w:p>
      <w:pPr>
        <w:spacing w:after="40"/>
      </w:pP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 ξ_j ∈ 𝔊_{&lt; τ_k}^(W),   τ_j &lt; τ_k  ⟹  ξ_k ∉ 𝔊_{&lt; τ_k}^(W)</w:t>
            </w:r>
            <w:r>
              <w:rPr>
                <w:rFonts w:ascii="Calibri" w:hAnsi="Calibri"/>
                <w:i/>
                <w:color w:val="718096"/>
                <w:sz w:val="19"/>
              </w:rPr>
              <w:t xml:space="preserve">    (8)</w:t>
            </w:r>
          </w:p>
        </w:tc>
      </w:tr>
    </w:tbl>
    <w:p>
      <w:pPr>
        <w:spacing w:after="40"/>
      </w:pPr>
    </w:p>
    <w:p>
      <w:pPr>
        <w:spacing w:after="80" w:line="276" w:lineRule="auto"/>
        <w:jc w:val="both"/>
      </w:pPr>
      <w:r>
        <w:rPr>
          <w:rFonts w:ascii="Calibri" w:hAnsi="Calibri"/>
          <w:i w:val="0"/>
          <w:color w:val="2D3748"/>
          <w:sz w:val="20"/>
        </w:rPr>
        <w:t>Operationally: (1) Read: Query WindowGraph for transaction k's fan-in, fan-out, destination in-degree, source out-degree, and (if 𝔰_k ≠ 𝔡_k) run bounded cycle search; query LapMemory for amount recurrence against historical records. (2) Insert: Only after all reads return does the engine call WindowGraph.add(τ_k, 𝔰_k, 𝔡_k, ν_k) and LapMemory.record(...) for transaction k itself.</w:t>
      </w:r>
    </w:p>
    <w:p>
      <w:pPr>
        <w:spacing w:after="80" w:line="276" w:lineRule="auto"/>
        <w:jc w:val="both"/>
      </w:pPr>
      <w:r>
        <w:rPr>
          <w:rFonts w:ascii="Calibri" w:hAnsi="Calibri"/>
          <w:i w:val="0"/>
          <w:color w:val="2D3748"/>
          <w:sz w:val="20"/>
        </w:rPr>
        <w:t>Dynamic Interaction State Formulation: Unlike Rossi et al. [4] who formulate node states using generic s_i(t) and m_i(t), ChronoSentry maintains an entity state η_α(τ) ∈ ℝ^{d_mem}. Upon the arrival of edge ξ_k, the interaction transition message ρ_{𝔰_k}(τ_k) is synthesized via:</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ρ_{𝔰_k}(τ_k) = ℳ_enc( η_{𝔰_k}(τ_k^-) ∥ η_{𝔡_k}(τ_k^-) ∥ log_10(ν_k + 1) ∥ ϕ_𝕋(Δτ_k) )</w:t>
            </w:r>
            <w:r>
              <w:rPr>
                <w:rFonts w:ascii="Calibri" w:hAnsi="Calibri"/>
                <w:i/>
                <w:color w:val="718096"/>
                <w:sz w:val="19"/>
              </w:rPr>
              <w:t xml:space="preserve">    (9)</w:t>
            </w:r>
          </w:p>
        </w:tc>
      </w:tr>
    </w:tbl>
    <w:p>
      <w:pPr>
        <w:spacing w:after="40"/>
      </w:pPr>
    </w:p>
    <w:p>
      <w:pPr>
        <w:spacing w:after="80" w:line="276" w:lineRule="auto"/>
        <w:jc w:val="both"/>
      </w:pPr>
      <w:r>
        <w:rPr>
          <w:rFonts w:ascii="Calibri" w:hAnsi="Calibri"/>
          <w:i w:val="0"/>
          <w:color w:val="2D3748"/>
          <w:sz w:val="20"/>
        </w:rPr>
        <w:t>where ∥ denotes tensor concatenation, τ_k^- denotes the instant immediately preceding τ_k, and ϕ_𝕋(·) is a Bochner cosine-frequency time encoding:</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ϕ_𝕋(Δτ_k) = [ cos(ω_1 Δτ_k + β_1), ..., cos(ω_K Δτ_k + β_K) ]^T</w:t>
            </w:r>
            <w:r>
              <w:rPr>
                <w:rFonts w:ascii="Calibri" w:hAnsi="Calibri"/>
                <w:i/>
                <w:color w:val="718096"/>
                <w:sz w:val="19"/>
              </w:rPr>
              <w:t xml:space="preserve">    (10)</w:t>
            </w:r>
          </w:p>
        </w:tc>
      </w:tr>
    </w:tbl>
    <w:p>
      <w:pPr>
        <w:spacing w:after="40"/>
      </w:pPr>
    </w:p>
    <w:p>
      <w:pPr>
        <w:spacing w:after="80" w:line="276" w:lineRule="auto"/>
        <w:jc w:val="both"/>
      </w:pPr>
      <w:r>
        <w:rPr>
          <w:rFonts w:ascii="Calibri" w:hAnsi="Calibri"/>
          <w:i w:val="0"/>
          <w:color w:val="2D3748"/>
          <w:sz w:val="20"/>
        </w:rPr>
        <w:t>The entity memory is updated via a Gated Recurrent Unit transition:</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η_{𝔰_k}(τ_k) = GRU( ρ_{𝔰_k}(τ_k), η_{𝔰_k}(τ_k^-) )</w:t>
            </w:r>
            <w:r>
              <w:rPr>
                <w:rFonts w:ascii="Calibri" w:hAnsi="Calibri"/>
                <w:i/>
                <w:color w:val="718096"/>
                <w:sz w:val="19"/>
              </w:rPr>
              <w:t xml:space="preserve">    (11)</w:t>
            </w:r>
          </w:p>
        </w:tc>
      </w:tr>
    </w:tbl>
    <w:p>
      <w:pPr>
        <w:spacing w:after="40"/>
      </w:pPr>
    </w:p>
    <w:p>
      <w:pPr>
        <w:spacing w:after="80" w:line="276" w:lineRule="auto"/>
        <w:jc w:val="both"/>
      </w:pPr>
      <w:r>
        <w:rPr>
          <w:rFonts w:ascii="Calibri" w:hAnsi="Calibri"/>
          <w:i w:val="0"/>
          <w:color w:val="2D3748"/>
          <w:sz w:val="20"/>
        </w:rPr>
        <w:t>The pairwise dynamic embedding vector is projected through a parameterized LeakyReLU layer (α = 0.1):</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h_dyn(ξ_k, τ_k) = max(0.1 · Γ_k, Γ_k),   Γ_k = W_proj [ η_{𝔰_k}(τ_k) ∥ η_{𝔡_k}(τ_k) ] + b_proj</w:t>
            </w:r>
            <w:r>
              <w:rPr>
                <w:rFonts w:ascii="Calibri" w:hAnsi="Calibri"/>
                <w:i/>
                <w:color w:val="718096"/>
                <w:sz w:val="19"/>
              </w:rPr>
              <w:t xml:space="preserve">    (12)</w:t>
            </w:r>
          </w:p>
        </w:tc>
      </w:tr>
    </w:tbl>
    <w:p>
      <w:pPr>
        <w:spacing w:after="40"/>
      </w:pPr>
    </w:p>
    <w:p>
      <w:pPr>
        <w:keepNext/>
        <w:spacing w:before="120" w:after="40"/>
        <w:jc w:val="center"/>
      </w:pPr>
      <w:r>
        <w:drawing>
          <wp:inline xmlns:a="http://schemas.openxmlformats.org/drawingml/2006/main" xmlns:pic="http://schemas.openxmlformats.org/drawingml/2006/picture">
            <wp:extent cx="5852160" cy="5320145"/>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5852160" cy="5320145"/>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2"/>
        </w:rPr>
        <w:t>iv. Classification</w:t>
      </w:r>
    </w:p>
    <w:p>
      <w:pPr>
        <w:spacing w:after="80" w:line="276" w:lineRule="auto"/>
        <w:jc w:val="both"/>
      </w:pPr>
      <w:r>
        <w:rPr>
          <w:rFonts w:ascii="Calibri" w:hAnsi="Calibri"/>
          <w:i w:val="0"/>
          <w:color w:val="2D3748"/>
          <w:sz w:val="20"/>
        </w:rPr>
        <w:t>The finalized ChronoSentry champion model is formulated as: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f_ChronoSentry(ξ_k) = 𝒯_GBDT( Φ(ξ_k); 𝒥_focal, Θ* )</w:t>
            </w:r>
            <w:r>
              <w:rPr>
                <w:rFonts w:ascii="Calibri" w:hAnsi="Calibri"/>
                <w:i/>
                <w:color w:val="718096"/>
                <w:sz w:val="19"/>
              </w:rPr>
              <w:t xml:space="preserve">    (13)</w:t>
            </w:r>
          </w:p>
        </w:tc>
      </w:tr>
    </w:tbl>
    <w:p>
      <w:pPr>
        <w:spacing w:after="40"/>
      </w:pPr>
    </w:p>
    <w:p>
      <w:pPr>
        <w:spacing w:after="80" w:line="276" w:lineRule="auto"/>
        <w:jc w:val="both"/>
      </w:pPr>
      <w:r>
        <w:rPr>
          <w:rFonts w:ascii="Calibri" w:hAnsi="Calibri"/>
          <w:i w:val="0"/>
          <w:color w:val="2D3748"/>
          <w:sz w:val="20"/>
        </w:rPr>
        <w:t>where 𝒯_GBDT denotes an ensemble of gradient-boosted decision trees [19] optimized under an unweighted, symmetric α-free focal loss [17]:</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𝒥_focal(π̂_k, y_k) = - y_k (1 - π̂_k)^γ ln(π̂_k) - (1 - y_k) π̂_k^γ ln(1 - π̂_k)</w:t>
            </w:r>
            <w:r>
              <w:rPr>
                <w:rFonts w:ascii="Calibri" w:hAnsi="Calibri"/>
                <w:i/>
                <w:color w:val="718096"/>
                <w:sz w:val="19"/>
              </w:rPr>
              <w:t xml:space="preserve">    (14)</w:t>
            </w:r>
          </w:p>
        </w:tc>
      </w:tr>
    </w:tbl>
    <w:p>
      <w:pPr>
        <w:spacing w:after="40"/>
      </w:pPr>
    </w:p>
    <w:p>
      <w:pPr>
        <w:spacing w:after="80" w:line="276" w:lineRule="auto"/>
        <w:jc w:val="both"/>
      </w:pPr>
      <w:r>
        <w:rPr>
          <w:rFonts w:ascii="Calibri" w:hAnsi="Calibri"/>
          <w:i w:val="0"/>
          <w:color w:val="2D3748"/>
          <w:sz w:val="20"/>
        </w:rPr>
        <w:t>where π̂_k = σ(θ_k) = (1 + e^-θ_k)^-1 is the sigmoid posterior of predicted log-odds margin θ_k ∈ ℝ, y_k ∈ {0, 1} is the ground-truth forensic label, and γ ∈ ℝ^+ is the focusing factor (γ = 1.0 for BankSim, γ = 2.0 for SAP Würzburg).</w:t>
      </w:r>
    </w:p>
    <w:p>
      <w:pPr>
        <w:spacing w:after="80" w:line="276" w:lineRule="auto"/>
        <w:jc w:val="both"/>
      </w:pPr>
      <w:r>
        <w:rPr>
          <w:rFonts w:ascii="Calibri" w:hAnsi="Calibri"/>
          <w:i w:val="0"/>
          <w:color w:val="2D3748"/>
          <w:sz w:val="20"/>
        </w:rPr>
        <w:t>The closed-form directional first-order gradient g_k = ∂𝒥_focal / ∂θ_k is: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g_k = γ π̂_k (1 - π̂_k)^γ ln(π̂_k) - (1 - π̂_k)^{γ+1}   [if y_k=1],   π̂_k^{γ+1} - γ (1 - π̂_k) π̂_k^γ ln(1 - π̂_k)   [if y_k=0]</w:t>
            </w:r>
            <w:r>
              <w:rPr>
                <w:rFonts w:ascii="Calibri" w:hAnsi="Calibri"/>
                <w:i/>
                <w:color w:val="718096"/>
                <w:sz w:val="19"/>
              </w:rPr>
              <w:t xml:space="preserve">    (15)</w:t>
            </w:r>
          </w:p>
        </w:tc>
      </w:tr>
    </w:tbl>
    <w:p>
      <w:pPr>
        <w:spacing w:after="40"/>
      </w:pPr>
    </w:p>
    <w:p>
      <w:pPr>
        <w:spacing w:after="80" w:line="276" w:lineRule="auto"/>
        <w:jc w:val="both"/>
      </w:pPr>
      <w:r>
        <w:rPr>
          <w:rFonts w:ascii="Calibri" w:hAnsi="Calibri"/>
          <w:i w:val="0"/>
          <w:color w:val="2D3748"/>
          <w:sz w:val="20"/>
        </w:rPr>
        <w:t>The second-order curvature hessian H_k = ∂²𝒥_focal / ∂θ_k² is evaluated via central difference perturbation with step δε = 10^-4:</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H_k ≈ [ g_k(θ_k + δε) - g_k(θ_k - δε) ] / (2 δε)</w:t>
            </w:r>
            <w:r>
              <w:rPr>
                <w:rFonts w:ascii="Calibri" w:hAnsi="Calibri"/>
                <w:i/>
                <w:color w:val="718096"/>
                <w:sz w:val="19"/>
              </w:rPr>
              <w:t xml:space="preserve">    (16)</w:t>
            </w:r>
          </w:p>
        </w:tc>
      </w:tr>
    </w:tbl>
    <w:p>
      <w:pPr>
        <w:spacing w:after="40"/>
      </w:pPr>
    </w:p>
    <w:p>
      <w:pPr>
        <w:spacing w:after="80" w:line="276" w:lineRule="auto"/>
        <w:jc w:val="both"/>
      </w:pPr>
      <w:r>
        <w:rPr>
          <w:rFonts w:ascii="Calibri" w:hAnsi="Calibri"/>
          <w:i w:val="0"/>
          <w:color w:val="2D3748"/>
          <w:sz w:val="20"/>
        </w:rPr>
        <w:t>The operational decision threshold is tuned strictly on validation set 𝒟_val and frozen:</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θ_audit* = argmax_θ ℱ_1( 𝒟_val, θ ),   ŷ_k = 𝕀( π̂_k ≥ θ_audit* )</w:t>
            </w:r>
            <w:r>
              <w:rPr>
                <w:rFonts w:ascii="Calibri" w:hAnsi="Calibri"/>
                <w:i/>
                <w:color w:val="718096"/>
                <w:sz w:val="19"/>
              </w:rPr>
              <w:t xml:space="preserve">    (17)</w:t>
            </w:r>
          </w:p>
        </w:tc>
      </w:tr>
    </w:tbl>
    <w:p>
      <w:pPr>
        <w:spacing w:after="40"/>
      </w:pPr>
    </w:p>
    <w:p>
      <w:pPr>
        <w:spacing w:after="80" w:line="276" w:lineRule="auto"/>
        <w:jc w:val="both"/>
      </w:pPr>
      <w:r>
        <w:rPr>
          <w:rFonts w:ascii="Calibri" w:hAnsi="Calibri"/>
          <w:i w:val="0"/>
          <w:color w:val="2D3748"/>
          <w:sz w:val="20"/>
        </w:rPr>
        <w:t>and frozen for test evaluation. Test metrics are never evaluated at an uncalibrated default 0.5 threshold.</w:t>
      </w:r>
    </w:p>
    <w:p>
      <w:pPr>
        <w:keepNext/>
        <w:spacing w:before="160" w:after="40"/>
      </w:pPr>
      <w:r>
        <w:rPr>
          <w:rFonts w:ascii="Calibri" w:hAnsi="Calibri"/>
          <w:b/>
          <w:color w:val="2B6CB0"/>
          <w:sz w:val="22"/>
        </w:rPr>
        <w:t>v. Federated</w:t>
      </w:r>
    </w:p>
    <w:p>
      <w:pPr>
        <w:spacing w:after="80" w:line="276" w:lineRule="auto"/>
        <w:jc w:val="both"/>
      </w:pPr>
      <w:r>
        <w:rPr>
          <w:rFonts w:ascii="Calibri" w:hAnsi="Calibri"/>
          <w:i w:val="0"/>
          <w:color w:val="2D3748"/>
          <w:sz w:val="20"/>
        </w:rPr>
        <w:t>To overcome cross-institutional banking secrecy barriers (GDPR, GLBA), we deploy a Score-Level Ensemble Consensus architecture across C=4 heterogeneous institutional clients partitioned via k-means clustering on transaction volume. Rather than naive uniform averaging (FedAvg) [14], which allows fraud-starved institutions to dilute the consensus, our server implements empirical validation reliability weighting (FedProx) [15]. Across C decentralized clients c ∈ {1, ..., C} with private validation precision-recall area 𝒫_val^(c) = PR-AUC(𝒟_val^(c)), the central aggregator computes institutional reliability coefficients: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ϖ_c = (𝒫_val^(c))^κ / ∑_{m=1}^C (𝒫_val^(m))^κ</w:t>
            </w:r>
            <w:r>
              <w:rPr>
                <w:rFonts w:ascii="Calibri" w:hAnsi="Calibri"/>
                <w:i/>
                <w:color w:val="718096"/>
                <w:sz w:val="19"/>
              </w:rPr>
              <w:t xml:space="preserve">    (18)</w:t>
            </w:r>
          </w:p>
        </w:tc>
      </w:tr>
    </w:tbl>
    <w:p>
      <w:pPr>
        <w:spacing w:after="40"/>
      </w:pPr>
    </w:p>
    <w:p>
      <w:pPr>
        <w:spacing w:after="80" w:line="276" w:lineRule="auto"/>
        <w:jc w:val="both"/>
      </w:pPr>
      <w:r>
        <w:rPr>
          <w:rFonts w:ascii="Calibri" w:hAnsi="Calibri"/>
          <w:i w:val="0"/>
          <w:color w:val="2D3748"/>
          <w:sz w:val="20"/>
        </w:rPr>
        <w:t>where κ ≥ 1.0 is the empirical confidence sharpening exponent. The global federated consensus prediction is: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Π̂_consensus(ξ_k) = ∑_{c=1}^C ϖ_c · ℳ^(c)( Φ(ξ_k) )</w:t>
            </w:r>
            <w:r>
              <w:rPr>
                <w:rFonts w:ascii="Calibri" w:hAnsi="Calibri"/>
                <w:i/>
                <w:color w:val="718096"/>
                <w:sz w:val="19"/>
              </w:rPr>
              <w:t xml:space="preserve">    (19)</w:t>
            </w:r>
          </w:p>
        </w:tc>
      </w:tr>
    </w:tbl>
    <w:p>
      <w:pPr>
        <w:spacing w:after="40"/>
      </w:pPr>
    </w:p>
    <w:p>
      <w:pPr>
        <w:spacing w:after="80" w:line="276" w:lineRule="auto"/>
        <w:jc w:val="both"/>
      </w:pPr>
      <w:r>
        <w:rPr>
          <w:rFonts w:ascii="Calibri" w:hAnsi="Calibri"/>
          <w:i w:val="0"/>
          <w:color w:val="2D3748"/>
          <w:sz w:val="20"/>
        </w:rPr>
        <w:t>Each client trains autonomously on its private transaction partition, early-stops on local validation data, and communicates only prediction scores and validation confidence metrics to the central aggregator.</w:t>
      </w:r>
    </w:p>
    <w:p>
      <w:pPr>
        <w:keepNext/>
        <w:spacing w:before="160" w:after="40"/>
      </w:pPr>
      <w:r>
        <w:rPr>
          <w:rFonts w:ascii="Calibri" w:hAnsi="Calibri"/>
          <w:b/>
          <w:color w:val="2B6CB0"/>
          <w:sz w:val="22"/>
        </w:rPr>
        <w:t>vi. Explainable</w:t>
      </w:r>
    </w:p>
    <w:p>
      <w:pPr>
        <w:spacing w:after="80" w:line="276" w:lineRule="auto"/>
        <w:jc w:val="both"/>
      </w:pPr>
      <w:r>
        <w:rPr>
          <w:rFonts w:ascii="Calibri" w:hAnsi="Calibri"/>
          <w:i w:val="0"/>
          <w:color w:val="2D3748"/>
          <w:sz w:val="20"/>
        </w:rPr>
        <w:t xml:space="preserve">Regulatory compliance (Sarbanes-Oxley Act, Basel III) requires verifiable evidence trails [9, 10]. Every reported feature attribution is computed via TreeSHAP [18] in unconstrained log-odds margin space θ_k = ln(π̂_k / (1 - π̂_k)): </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θ_k = Λ_0 + ∑_{d=1}^D Λ_d( Φ(ξ_k) )</w:t>
            </w:r>
            <w:r>
              <w:rPr>
                <w:rFonts w:ascii="Calibri" w:hAnsi="Calibri"/>
                <w:i/>
                <w:color w:val="718096"/>
                <w:sz w:val="19"/>
              </w:rPr>
              <w:t xml:space="preserve">    (20)</w:t>
            </w:r>
          </w:p>
        </w:tc>
      </w:tr>
    </w:tbl>
    <w:p>
      <w:pPr>
        <w:spacing w:after="40"/>
      </w:pPr>
    </w:p>
    <w:p>
      <w:pPr>
        <w:spacing w:after="80" w:line="276" w:lineRule="auto"/>
        <w:jc w:val="both"/>
      </w:pPr>
      <w:r>
        <w:rPr>
          <w:rFonts w:ascii="Calibri" w:hAnsi="Calibri"/>
          <w:i w:val="0"/>
          <w:color w:val="2D3748"/>
          <w:sz w:val="20"/>
        </w:rPr>
        <w:t>where Λ_0 = 𝔼_Φ[θ] represents the base ledger log-odds prior, and Λ_d ∈ ℝ represents the exact, sign-consistent marginal attribution of the d-th feature. This executes the exact TreeSHAP recursion as a pure traversal of the fitted tree ensemble, returning signed attributions additive in log-odds space. It is exact (not sampled) and valid under focal gradients.</w:t>
      </w:r>
    </w:p>
    <w:p>
      <w:pPr>
        <w:spacing w:after="80" w:line="276" w:lineRule="auto"/>
        <w:jc w:val="both"/>
      </w:pPr>
      <w:r>
        <w:rPr>
          <w:rFonts w:ascii="Calibri" w:hAnsi="Calibri"/>
          <w:i w:val="0"/>
          <w:color w:val="2D3748"/>
          <w:sz w:val="20"/>
        </w:rPr>
        <w:t>When an anomaly score exceeds θ_audit*, the continuous auditing console synthesizes a two-layer forensic alert packet: (1) Layer 1 (Model Attribution): Top 3 signed driving features in log-odds space (e.g., +0.43 log_amount, +0.29 dest_in_degree); and (2) Layer 2 (Reconstructed Graph Evidence): A deterministic Cypher query executing against Neo4j that extracts the historical subgraph surrounding the flagged transaction, confirming counterparty identities and payment paths for forensic review.</w:t>
      </w:r>
    </w:p>
    <w:p>
      <w:pPr>
        <w:keepNext/>
        <w:spacing w:before="240" w:after="60"/>
      </w:pPr>
      <w:r>
        <w:rPr>
          <w:rFonts w:ascii="Calibri" w:hAnsi="Calibri"/>
          <w:b/>
          <w:color w:val="1B365D"/>
          <w:sz w:val="25"/>
        </w:rPr>
        <w:t>4. Result and analysis</w:t>
      </w:r>
    </w:p>
    <w:p>
      <w:pPr>
        <w:keepNext/>
        <w:spacing w:before="160" w:after="40"/>
      </w:pPr>
      <w:r>
        <w:rPr>
          <w:rFonts w:ascii="Calibri" w:hAnsi="Calibri"/>
          <w:b/>
          <w:color w:val="2B6CB0"/>
          <w:sz w:val="22"/>
        </w:rPr>
        <w:t>i. Dataset Description</w:t>
      </w:r>
    </w:p>
    <w:p>
      <w:pPr>
        <w:spacing w:after="80" w:line="276" w:lineRule="auto"/>
        <w:jc w:val="both"/>
      </w:pPr>
      <w:r>
        <w:rPr>
          <w:rFonts w:ascii="Calibri" w:hAnsi="Calibri"/>
          <w:i w:val="0"/>
          <w:color w:val="2D3748"/>
          <w:sz w:val="20"/>
        </w:rPr>
        <w:t>We evaluate ChronoSentry across three diverse, benchmark financial transaction datasets: Dataset 1 (BankSim) represents a synthetic bipartite consumer-to-merchant payment simulation containing 594,643 transactions across 4,166 unique accounts (4,116 customers, 50 merchants) [11] with a 1.21% fraud rate. Dataset 2 (IBM AML) models a directed multi-hop transaction network generated from financial anti-money laundering typologies containing 5,076,142 transactions across 412,416 accounts, featuring complex smurfing and layering chains [12] (0.12% fraud rate in the test split). Dataset 3 (SAP Würzburg) represents a real-world enterprise general ledger export containing 200,687 double-entry accounting records across 1,422 balance sheet and P&amp;L accounts, reflecting legitimate clearing hub structures [13] (0.012% fraud rate).</w:t>
      </w:r>
    </w:p>
    <w:p>
      <w:pPr>
        <w:keepNext/>
        <w:spacing w:before="160" w:after="40"/>
      </w:pPr>
      <w:r>
        <w:rPr>
          <w:rFonts w:ascii="Calibri" w:hAnsi="Calibri"/>
          <w:b/>
          <w:color w:val="1B365D"/>
          <w:sz w:val="19"/>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12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Attribute / Metric</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Transactions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594,643</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5,076,142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200,687</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Unique Entities |𝒜|</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4,166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412,416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1,422</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Graph Topology</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Bipartite Consumer-Merchant</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Directed Multi-Hop</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Relational General Ledger</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Time Span</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180 Simulation Steps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 (Timestamped)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Full Fiscal Year (Postings)</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Trailing Window (W)</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 Steps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Fraud Cases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7,200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1,719</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248</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Overall Fraud Rate</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1.21%</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0.123%</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Train Transactions (τ &lt; T1)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353,638 (1.29%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790,442 (0.13%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120,411 (0.17% fraud)</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Val Transactions (T1 ≤ τ &lt; T2)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118,727 (1.11%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266,593 (0.12%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40,137 (0.047% fraud)</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Test Transactions (τ ≥ T2)</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 (1.08%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 (0.14%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 (0.062% fraud)</w:t>
            </w:r>
          </w:p>
        </w:tc>
      </w:tr>
    </w:tbl>
    <w:p>
      <w:pPr>
        <w:spacing w:after="80"/>
      </w:pPr>
    </w:p>
    <w:p>
      <w:pPr>
        <w:keepNext/>
        <w:spacing w:before="160" w:after="40"/>
      </w:pPr>
      <w:r>
        <w:rPr>
          <w:rFonts w:ascii="Calibri" w:hAnsi="Calibri"/>
          <w:b/>
          <w:color w:val="2B6CB0"/>
          <w:sz w:val="22"/>
        </w:rPr>
        <w:t>ii. Comparison of Performance Metrics With Traditional Machine Learning Models</w:t>
      </w:r>
    </w:p>
    <w:p>
      <w:pPr>
        <w:spacing w:after="80" w:line="276" w:lineRule="auto"/>
        <w:jc w:val="both"/>
      </w:pPr>
      <w:r>
        <w:rPr>
          <w:rFonts w:ascii="Calibri" w:hAnsi="Calibri"/>
          <w:i w:val="0"/>
          <w:color w:val="2D3748"/>
          <w:sz w:val="20"/>
        </w:rPr>
        <w:t>We benchmark ChronoSentry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9"/>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98.79%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0.5820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0.4912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0.5328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0.5120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99.21%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0.7142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0.6979</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0.6420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0.6460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0.6180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0.6538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0.7436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ChronoSentry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99.68%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0.8792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0.8212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0.8492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w:t>
            </w:r>
          </w:p>
        </w:tc>
      </w:tr>
    </w:tbl>
    <w:p>
      <w:pPr>
        <w:spacing w:after="80"/>
      </w:pPr>
    </w:p>
    <w:p>
      <w:pPr>
        <w:keepNext/>
        <w:spacing w:before="160" w:after="40"/>
      </w:pPr>
      <w:r>
        <w:rPr>
          <w:rFonts w:ascii="Calibri" w:hAnsi="Calibri"/>
          <w:b/>
          <w:color w:val="1B365D"/>
          <w:sz w:val="19"/>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0.5402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0.5739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0.9142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0.6280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0.7514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0.8677</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0.9780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0.7018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0.9811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ChronoSentry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r>
    </w:tbl>
    <w:p>
      <w:pPr>
        <w:spacing w:after="80"/>
      </w:pPr>
    </w:p>
    <w:p>
      <w:pPr>
        <w:keepNext/>
        <w:spacing w:before="160" w:after="40"/>
      </w:pPr>
      <w:r>
        <w:rPr>
          <w:rFonts w:ascii="Calibri" w:hAnsi="Calibri"/>
          <w:b/>
          <w:color w:val="1B365D"/>
          <w:sz w:val="19"/>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0.0210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0.0333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0.0250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0.0530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0.1600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0.0415</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0.0896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0.2400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0.1304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ChronoSentry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99.93%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0.1333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0.3200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0.1882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w:t>
            </w:r>
          </w:p>
        </w:tc>
      </w:tr>
    </w:tbl>
    <w:p>
      <w:pPr>
        <w:spacing w:after="80"/>
      </w:pPr>
    </w:p>
    <w:p>
      <w:pPr>
        <w:spacing w:after="80" w:line="276" w:lineRule="auto"/>
        <w:jc w:val="both"/>
      </w:pPr>
      <w:r>
        <w:rPr>
          <w:rFonts w:ascii="Calibri" w:hAnsi="Calibri"/>
          <w:i w:val="0"/>
          <w:color w:val="2D3748"/>
          <w:sz w:val="20"/>
        </w:rPr>
        <w:t>Discussion: Across all three datasets, ChronoSentry consistently outperforms classical linear and tree models. On Dataset 1 (BankSim), ChronoSentry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ChronoSentry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5852160" cy="3775587"/>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5852160" cy="3775587"/>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ChronoSentry Champion. The shaded band highlights the operational Precision@100 auditing envelope (100% precision at top 100 alerts).</w:t>
      </w:r>
    </w:p>
    <w:p>
      <w:pPr>
        <w:keepNext/>
        <w:spacing w:before="160" w:after="40"/>
      </w:pPr>
      <w:r>
        <w:rPr>
          <w:rFonts w:ascii="Calibri" w:hAnsi="Calibri"/>
          <w:b/>
          <w:color w:val="2B6CB0"/>
          <w:sz w:val="22"/>
        </w:rPr>
        <w:t>iii. Ablation experiment</w:t>
      </w:r>
    </w:p>
    <w:p>
      <w:pPr>
        <w:keepNext/>
        <w:spacing w:before="120" w:after="40"/>
      </w:pPr>
      <w:r>
        <w:rPr>
          <w:rFonts w:ascii="Calibri" w:hAnsi="Calibri"/>
          <w:b/>
          <w:color w:val="2D3748"/>
          <w:sz w:val="20"/>
        </w:rPr>
        <w:t>a. Feature Fusion Module Ablation Experiments</w:t>
      </w:r>
    </w:p>
    <w:p>
      <w:pPr>
        <w:spacing w:after="80" w:line="276" w:lineRule="auto"/>
        <w:jc w:val="both"/>
      </w:pPr>
      <w:r>
        <w:rPr>
          <w:rFonts w:ascii="Calibri" w:hAnsi="Calibri"/>
          <w:i w:val="0"/>
          <w:color w:val="2D3748"/>
          <w:sz w:val="20"/>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9"/>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51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Feature Module Configuration</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1. Baseline Tabular (ψ_tab)</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 ± 0.0700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 ± 0.0026</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 ± 0.0129</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2. Structure Only (Amount-Blind)</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 ± 0.0035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0.9922 ± 0.0025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0.0734 ± 0.0081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3. Handcrafted Topology Only (Ω_topo)</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0.9319 ± 0.0017</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4. TGN Dynamic Embeddings Only (h_dyn)</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0.9196 ± 0.0012</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0.9872 ± 0.0101</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0.0594 ± 0.0241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5. Tabular + Handcrafted Topology</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0.9322 ± 0.0014</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6. Tabular + TGN Dynamic Embeddings</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0.9254 ± 0.0018</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0.0010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0.0812 ± 0.0184</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7. ChronoSentry Full Fusion (Proposed)</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 ± 0.0015</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 ± 0.0717</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Marginal Graph Lift (Over Tabular)</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+11.7% (+0.0974)</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 (+0.0080)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-54.6% (-0.0864)</w:t>
            </w:r>
          </w:p>
        </w:tc>
      </w:tr>
    </w:tbl>
    <w:p>
      <w:pPr>
        <w:spacing w:after="80"/>
      </w:pPr>
    </w:p>
    <w:p>
      <w:pPr>
        <w:spacing w:after="80" w:line="276" w:lineRule="auto"/>
        <w:jc w:val="both"/>
      </w:pPr>
      <w:r>
        <w:rPr>
          <w:rFonts w:ascii="Calibri" w:hAnsi="Calibri"/>
          <w:i w:val="0"/>
          <w:color w:val="2D3748"/>
          <w:sz w:val="20"/>
        </w:rPr>
        <w:t>Ablation Findings &amp; Analysis:</w:t>
      </w:r>
    </w:p>
    <w:p>
      <w:pPr>
        <w:pStyle w:val="ListBullet"/>
        <w:spacing w:after="60" w:line="276" w:lineRule="auto"/>
        <w:jc w:val="both"/>
      </w:pPr>
      <w:r>
        <w:rPr>
          <w:rFonts w:ascii="Calibri" w:hAnsi="Calibri"/>
          <w:b/>
          <w:color w:val="2D3748"/>
          <w:sz w:val="20"/>
        </w:rPr>
        <w:t xml:space="preserve">1. Conditional Graph Lift: </w:t>
      </w:r>
      <w:r>
        <w:rPr>
          <w:rFonts w:ascii="Calibri" w:hAnsi="Calibri"/>
          <w:color w:val="2D3748"/>
          <w:sz w:val="20"/>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20"/>
        </w:rPr>
        <w:t xml:space="preserve">2. The Relational ERP Clearing Hub Paradox: </w:t>
      </w:r>
      <w:r>
        <w:rPr>
          <w:rFonts w:ascii="Calibri" w:hAnsi="Calibri"/>
          <w:color w:val="2D3748"/>
          <w:sz w:val="20"/>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20"/>
        </w:rPr>
        <w:t xml:space="preserve">3. Handcrafted Topology vs. Learned TGN: </w:t>
      </w:r>
      <w:r>
        <w:rPr>
          <w:rFonts w:ascii="Calibri" w:hAnsi="Calibri"/>
          <w:color w:val="2D3748"/>
          <w:sz w:val="20"/>
        </w:rPr>
        <w:t>Handcrafted streaming topology consistently outperforms learned continuous TGN embeddings on real financial data (0.9319 vs. 0.9196 on BankSim). However, fusing both within ChronoSentry captures complementary temporal dynamics, achieving peak overall PR-AUC (0.9364).</w:t>
      </w:r>
    </w:p>
    <w:p>
      <w:pPr>
        <w:keepNext/>
        <w:spacing w:before="120" w:after="40"/>
      </w:pPr>
      <w:r>
        <w:rPr>
          <w:rFonts w:ascii="Calibri" w:hAnsi="Calibri"/>
          <w:b/>
          <w:color w:val="2D3748"/>
          <w:sz w:val="20"/>
        </w:rPr>
        <w:t>b. Ablation study on activation function</w:t>
      </w:r>
    </w:p>
    <w:p>
      <w:pPr>
        <w:spacing w:after="80" w:line="276" w:lineRule="auto"/>
        <w:jc w:val="both"/>
      </w:pPr>
      <w:r>
        <w:rPr>
          <w:rFonts w:ascii="Calibri" w:hAnsi="Calibri"/>
          <w:i w:val="0"/>
          <w:color w:val="2D3748"/>
          <w:sz w:val="20"/>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9"/>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228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Activation Function</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Mathematical Formulation</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max(0, 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0.9312 ± 0.0021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0.1482 ± 0.0180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LeakyReLU (α = 0.1)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max(α x, 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 ± 0.0015</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 Φ(x)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0.9348 ± 0.0018</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0.9995 ± 0.0002</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0.1524 ± 0.0210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ELU (α = 1.0)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&gt; 0 ? x : α(e^x - 1)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0.9329 ± 0.0020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 ± 0.0004</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0.1501 ± 0.0195</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Sigmoid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 + e^-x)^-1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0.8845 ± 0.0084</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0.9620 ± 0.0085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0.0912 ± 0.0350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Tanh</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(e^x - e^-x)/(e^x + e^-x)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0.9082 ± 0.0052</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0.9841 ± 0.0041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5852160" cy="261051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5852160" cy="261051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20"/>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2"/>
        </w:rPr>
        <w:t>iv. Federated Learning Results Analysis</w:t>
      </w:r>
    </w:p>
    <w:p>
      <w:pPr>
        <w:keepNext/>
        <w:spacing w:before="120" w:after="40"/>
        <w:jc w:val="center"/>
      </w:pPr>
      <w:r>
        <w:drawing>
          <wp:inline xmlns:a="http://schemas.openxmlformats.org/drawingml/2006/main" xmlns:pic="http://schemas.openxmlformats.org/drawingml/2006/picture">
            <wp:extent cx="5852160" cy="380710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5852160" cy="380710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20"/>
        </w:rPr>
        <w:t>a. Client wise Training Accuracy and loss graphs</w:t>
      </w:r>
    </w:p>
    <w:p>
      <w:pPr>
        <w:spacing w:after="80" w:line="276" w:lineRule="auto"/>
        <w:jc w:val="both"/>
      </w:pPr>
      <w:r>
        <w:rPr>
          <w:rFonts w:ascii="Calibri" w:hAnsi="Calibri"/>
          <w:i w:val="0"/>
          <w:color w:val="2D3748"/>
          <w:sz w:val="20"/>
        </w:rPr>
        <w:t>Fig. 5(a) and (b) depict local training dynamics across the C=4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20"/>
        </w:rPr>
        <w:t>b. Global model (Server) Test Accuracy and Loss graphs</w:t>
      </w:r>
    </w:p>
    <w:p>
      <w:pPr>
        <w:spacing w:after="80" w:line="276" w:lineRule="auto"/>
        <w:jc w:val="both"/>
      </w:pPr>
      <w:r>
        <w:rPr>
          <w:rFonts w:ascii="Calibri" w:hAnsi="Calibri"/>
          <w:i w:val="0"/>
          <w:color w:val="2D3748"/>
          <w:sz w:val="20"/>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20"/>
        </w:rPr>
        <w:t>c. Comparison with other federated learning frameworks</w:t>
      </w:r>
    </w:p>
    <w:p>
      <w:pPr>
        <w:spacing w:after="80" w:line="276" w:lineRule="auto"/>
        <w:jc w:val="both"/>
      </w:pPr>
      <w:r>
        <w:rPr>
          <w:rFonts w:ascii="Calibri" w:hAnsi="Calibri"/>
          <w:i w:val="0"/>
          <w:color w:val="2D3748"/>
          <w:sz w:val="20"/>
        </w:rPr>
        <w:t>We benchmark ChronoSentry's FedProx validation reliability weighting against standard federated optimization algorithms across all three datasets (Table 7 and Fig. 6).</w:t>
      </w:r>
    </w:p>
    <w:p>
      <w:pPr>
        <w:keepNext/>
        <w:spacing w:before="160" w:after="40"/>
      </w:pPr>
      <w:r>
        <w:rPr>
          <w:rFonts w:ascii="Calibri" w:hAnsi="Calibri"/>
          <w:b/>
          <w:color w:val="1B365D"/>
          <w:sz w:val="19"/>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34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Federated Framework</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F1</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Upper Bound (No Privacy)</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0.9241 ± 0.0022</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0.8351</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Isolated Local-Only (Zero Sharing)</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0.8547 ± 0.0035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0.7684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0.9612 ± 0.0042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0.9480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0.0520 ± 0.0150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0.0610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FedAvg (Uniform Consensus) [14]</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0.9128 ± 0.0040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0.8359</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0.0005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0.9912</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0.1085 ± 0.0180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0.1240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Size-Weighted FedAvg [14]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0.9069 ± 0.0021</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0.8085</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0.9975 ± 0.0008</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0.1142 ± 0.0165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0.1315</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SCAFFOLD (Variance Reduction) [16]</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0.9135 ± 0.0028</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0.8348</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0.0004</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0.9945</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0.1210 ± 0.0140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0.1420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ChronoSentry FedProx (Proposed)</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0.9140 ± 0.0037</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0.8343</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0.9995 ± 0.0002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0.9982</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0.1412 ± 0.0110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0.1650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Parity Recovered</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98.91%</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90.69%</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20" w:after="40"/>
        <w:jc w:val="center"/>
      </w:pPr>
      <w:r>
        <w:drawing>
          <wp:inline xmlns:a="http://schemas.openxmlformats.org/drawingml/2006/main" xmlns:pic="http://schemas.openxmlformats.org/drawingml/2006/picture">
            <wp:extent cx="5852160" cy="2223821"/>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5852160" cy="2223821"/>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(C=4). (a) Per-client breakdown comparing isolated local slice, isolated on global stream (blind spot drop), and ChronoSentry consensus; (b) Federation client sensitivity across network sizes C ∈ {2, 3, 4, 5}.</w:t>
      </w:r>
    </w:p>
    <w:p>
      <w:pPr>
        <w:spacing w:after="80" w:line="276" w:lineRule="auto"/>
        <w:jc w:val="both"/>
      </w:pPr>
      <w:r>
        <w:rPr>
          <w:rFonts w:ascii="Calibri" w:hAnsi="Calibri"/>
          <w:i w:val="0"/>
          <w:color w:val="2D3748"/>
          <w:sz w:val="20"/>
        </w:rPr>
        <w:t>Discussion: Under severe non-IID client skew, standard FedAvg allows large, low-fraud institutions (Client 0) to overpower specialized institutions. Size-weighted FedAvg degrades performance further because Client 0 holds 87.5% of total volume. ChronoSentry's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2"/>
        </w:rPr>
        <w:t>v. Class-wise Analysis</w:t>
      </w:r>
    </w:p>
    <w:p>
      <w:pPr>
        <w:keepNext/>
        <w:spacing w:before="120" w:after="40"/>
      </w:pPr>
      <w:r>
        <w:rPr>
          <w:rFonts w:ascii="Calibri" w:hAnsi="Calibri"/>
          <w:b/>
          <w:color w:val="2D3748"/>
          <w:sz w:val="20"/>
        </w:rPr>
        <w:t>a. Confusion Matrix</w:t>
      </w:r>
    </w:p>
    <w:p>
      <w:pPr>
        <w:spacing w:after="80" w:line="276" w:lineRule="auto"/>
        <w:jc w:val="both"/>
      </w:pPr>
      <w:r>
        <w:rPr>
          <w:rFonts w:ascii="Calibri" w:hAnsi="Calibri"/>
          <w:i w:val="0"/>
          <w:color w:val="2D3748"/>
          <w:sz w:val="20"/>
        </w:rPr>
        <w:t>Fig. 7 illustrates the normalized and absolute contingency matrices evaluated on held-out test splits under frozen operational thresholds θ_audit*.</w:t>
      </w:r>
    </w:p>
    <w:p>
      <w:pPr>
        <w:keepNext/>
        <w:spacing w:before="120" w:after="40"/>
        <w:jc w:val="center"/>
      </w:pPr>
      <w:r>
        <w:drawing>
          <wp:inline xmlns:a="http://schemas.openxmlformats.org/drawingml/2006/main" xmlns:pic="http://schemas.openxmlformats.org/drawingml/2006/picture">
            <wp:extent cx="5852160" cy="1835225"/>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5852160" cy="1835225"/>
                    </a:xfrm>
                    <a:prstGeom prst="rect"/>
                  </pic:spPr>
                </pic:pic>
              </a:graphicData>
            </a:graphic>
          </wp:inline>
        </w:drawing>
      </w:r>
    </w:p>
    <w:p>
      <w:pPr>
        <w:spacing w:before="40" w:after="160"/>
        <w:jc w:val="both"/>
      </w:pPr>
      <w:r>
        <w:rPr>
          <w:rFonts w:ascii="Calibri" w:hAnsi="Calibri"/>
          <w:i/>
          <w:color w:val="2D3748"/>
          <w:sz w:val="17"/>
        </w:rPr>
        <w:t>Fig. 7: Class-wise 2x2 confusion matrices evaluated on held-out test splits under frozen operational thresholds for Dataset 1 (BankSim), Dataset 2 (IBM AML), and Dataset 3 (SAP Würzburg).</w:t>
      </w:r>
    </w:p>
    <w:p>
      <w:pPr>
        <w:keepNext/>
        <w:spacing w:before="120" w:after="40"/>
      </w:pPr>
      <w:r>
        <w:rPr>
          <w:rFonts w:ascii="Calibri" w:hAnsi="Calibri"/>
          <w:b/>
          <w:color w:val="2D3748"/>
          <w:sz w:val="20"/>
        </w:rPr>
        <w:t>b. Table</w:t>
      </w:r>
    </w:p>
    <w:p>
      <w:pPr>
        <w:spacing w:after="80" w:line="276" w:lineRule="auto"/>
        <w:jc w:val="both"/>
      </w:pPr>
      <w:r>
        <w:rPr>
          <w:rFonts w:ascii="Calibri" w:hAnsi="Calibri"/>
          <w:i w:val="0"/>
          <w:color w:val="2D3748"/>
          <w:sz w:val="20"/>
        </w:rPr>
        <w:t>Table 8 provides a granular, class-wise performance breakdown (Class 0: Legitimate vs. Class 1: Fraudulent) across all three benchmark datasets.</w:t>
      </w:r>
    </w:p>
    <w:p>
      <w:pPr>
        <w:keepNext/>
        <w:spacing w:before="160" w:after="40"/>
      </w:pPr>
      <w:r>
        <w:rPr>
          <w:rFonts w:ascii="Calibri" w:hAnsi="Calibri"/>
          <w:b/>
          <w:color w:val="1B365D"/>
          <w:sz w:val="19"/>
        </w:rPr>
        <w:t>Table 8: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21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w:t>
            </w:r>
          </w:p>
        </w:tc>
        <w:tc>
          <w:tcPr>
            <w:tcW w:type="dxa" w:w="187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Class Label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9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Support</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0.9984</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120,958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0.8792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0.8212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0.8492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1,320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0.9386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0.9238</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265,822</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377</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0.9987</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40,114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0.1333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0.3200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25</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0.5665</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0.6594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0.5937</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0.9986</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60" w:after="40"/>
      </w:pPr>
      <w:r>
        <w:rPr>
          <w:rFonts w:ascii="Calibri" w:hAnsi="Calibri"/>
          <w:b/>
          <w:color w:val="2B6CB0"/>
          <w:sz w:val="22"/>
        </w:rPr>
        <w:t>vi. Explainable results</w:t>
      </w:r>
    </w:p>
    <w:p>
      <w:pPr>
        <w:spacing w:after="80" w:line="276" w:lineRule="auto"/>
        <w:jc w:val="both"/>
      </w:pPr>
      <w:r>
        <w:rPr>
          <w:rFonts w:ascii="Calibri" w:hAnsi="Calibri"/>
          <w:i w:val="0"/>
          <w:color w:val="2D3748"/>
          <w:sz w:val="20"/>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5852160" cy="341376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5852160" cy="341376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20"/>
        </w:rPr>
        <w:t>Dataset 1 (BankSim) Attribution</w:t>
      </w:r>
    </w:p>
    <w:p>
      <w:pPr>
        <w:spacing w:after="80" w:line="276" w:lineRule="auto"/>
        <w:jc w:val="both"/>
      </w:pPr>
      <w:r>
        <w:rPr>
          <w:rFonts w:ascii="Calibri" w:hAnsi="Calibri"/>
          <w:i w:val="0"/>
          <w:color w:val="2D3748"/>
          <w:sz w:val="20"/>
        </w:rPr>
        <w:t>In BankSim, predicted fraud risk is driven by short-term degree bursts and transaction amount scale:</w:t>
      </w:r>
    </w:p>
    <w:p>
      <w:pPr>
        <w:pStyle w:val="ListBullet"/>
        <w:spacing w:after="60" w:line="276" w:lineRule="auto"/>
        <w:jc w:val="both"/>
      </w:pPr>
      <w:r>
        <w:rPr>
          <w:rFonts w:ascii="Calibri" w:hAnsi="Calibri"/>
          <w:b/>
          <w:color w:val="2D3748"/>
          <w:sz w:val="20"/>
        </w:rPr>
        <w:t xml:space="preserve">1. dest_in_degree (+0.5199 gain share): </w:t>
      </w:r>
      <w:r>
        <w:rPr>
          <w:rFonts w:ascii="Calibri" w:hAnsi="Calibri"/>
          <w:color w:val="2D3748"/>
          <w:sz w:val="20"/>
        </w:rPr>
        <w:t>Sudden surge in transaction volume directed into a specific merchant.</w:t>
      </w:r>
    </w:p>
    <w:p>
      <w:pPr>
        <w:pStyle w:val="ListBullet"/>
        <w:spacing w:after="60" w:line="276" w:lineRule="auto"/>
        <w:jc w:val="both"/>
      </w:pPr>
      <w:r>
        <w:rPr>
          <w:rFonts w:ascii="Calibri" w:hAnsi="Calibri"/>
          <w:b/>
          <w:color w:val="2D3748"/>
          <w:sz w:val="20"/>
        </w:rPr>
        <w:t xml:space="preserve">2. fan_in (+0.0908 gain share): </w:t>
      </w:r>
      <w:r>
        <w:rPr>
          <w:rFonts w:ascii="Calibri" w:hAnsi="Calibri"/>
          <w:color w:val="2D3748"/>
          <w:sz w:val="20"/>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20"/>
        </w:rPr>
        <w:t xml:space="preserve">3. log_amount (+0.43 mean |SHAP|): </w:t>
      </w:r>
      <w:r>
        <w:rPr>
          <w:rFonts w:ascii="Calibri" w:hAnsi="Calibri"/>
          <w:color w:val="2D3748"/>
          <w:sz w:val="20"/>
        </w:rPr>
        <w:t>Statistically elevated monetary amounts exceeding customer historical baselines.</w:t>
      </w:r>
    </w:p>
    <w:p>
      <w:pPr>
        <w:pStyle w:val="ListBullet"/>
        <w:spacing w:after="60" w:line="276" w:lineRule="auto"/>
        <w:jc w:val="both"/>
      </w:pPr>
      <w:r>
        <w:rPr>
          <w:rFonts w:ascii="Calibri" w:hAnsi="Calibri"/>
          <w:b/>
          <w:color w:val="2D3748"/>
          <w:sz w:val="20"/>
        </w:rPr>
        <w:t xml:space="preserve">4. tgn_s2 / tgn_d14 (+0.08 mean |SHAP|): </w:t>
      </w:r>
      <w:r>
        <w:rPr>
          <w:rFonts w:ascii="Calibri" w:hAnsi="Calibri"/>
          <w:color w:val="2D3748"/>
          <w:sz w:val="20"/>
        </w:rPr>
        <w:t>Latent dynamic interaction states capturing counterparty velocity shifts.</w:t>
      </w:r>
    </w:p>
    <w:p>
      <w:pPr>
        <w:keepNext/>
        <w:spacing w:before="120" w:after="40"/>
      </w:pPr>
      <w:r>
        <w:rPr>
          <w:rFonts w:ascii="Calibri" w:hAnsi="Calibri"/>
          <w:b/>
          <w:color w:val="2D3748"/>
          <w:sz w:val="20"/>
        </w:rPr>
        <w:t>Dataset 2 (IBM AML) Attribution</w:t>
      </w:r>
    </w:p>
    <w:p>
      <w:pPr>
        <w:spacing w:after="80" w:line="276" w:lineRule="auto"/>
        <w:jc w:val="both"/>
      </w:pPr>
      <w:r>
        <w:rPr>
          <w:rFonts w:ascii="Calibri" w:hAnsi="Calibri"/>
          <w:i w:val="0"/>
          <w:color w:val="2D3748"/>
          <w:sz w:val="20"/>
        </w:rPr>
        <w:t>In IBM AML, amount-derived lapping features account for 96% of tree decisions:</w:t>
      </w:r>
    </w:p>
    <w:p>
      <w:pPr>
        <w:pStyle w:val="ListBullet"/>
        <w:spacing w:after="60" w:line="276" w:lineRule="auto"/>
        <w:jc w:val="both"/>
      </w:pPr>
      <w:r>
        <w:rPr>
          <w:rFonts w:ascii="Calibri" w:hAnsi="Calibri"/>
          <w:b/>
          <w:color w:val="2D3748"/>
          <w:sz w:val="20"/>
        </w:rPr>
        <w:t xml:space="preserve">1. lap_out_recur (+0.5397 gain share): </w:t>
      </w:r>
      <w:r>
        <w:rPr>
          <w:rFonts w:ascii="Calibri" w:hAnsi="Calibri"/>
          <w:color w:val="2D3748"/>
          <w:sz w:val="20"/>
        </w:rPr>
        <w:t>Systematic recurrence of identical transaction amounts sent across counterparties.</w:t>
      </w:r>
    </w:p>
    <w:p>
      <w:pPr>
        <w:pStyle w:val="ListBullet"/>
        <w:spacing w:after="60" w:line="276" w:lineRule="auto"/>
        <w:jc w:val="both"/>
      </w:pPr>
      <w:r>
        <w:rPr>
          <w:rFonts w:ascii="Calibri" w:hAnsi="Calibri"/>
          <w:b/>
          <w:color w:val="2D3748"/>
          <w:sz w:val="20"/>
        </w:rPr>
        <w:t xml:space="preserve">2. lap_out_payees (+0.4200 gain share): </w:t>
      </w:r>
      <w:r>
        <w:rPr>
          <w:rFonts w:ascii="Calibri" w:hAnsi="Calibri"/>
          <w:color w:val="2D3748"/>
          <w:sz w:val="20"/>
        </w:rPr>
        <w:t>Fan-out structuring (smurfing) across multiple destination mules.</w:t>
      </w:r>
    </w:p>
    <w:p>
      <w:pPr>
        <w:pStyle w:val="ListBullet"/>
        <w:spacing w:after="60" w:line="276" w:lineRule="auto"/>
        <w:jc w:val="both"/>
      </w:pPr>
      <w:r>
        <w:rPr>
          <w:rFonts w:ascii="Calibri" w:hAnsi="Calibri"/>
          <w:b/>
          <w:color w:val="2D3748"/>
          <w:sz w:val="20"/>
        </w:rPr>
        <w:t xml:space="preserve">3. time_since_prev_src: </w:t>
      </w:r>
      <w:r>
        <w:rPr>
          <w:rFonts w:ascii="Calibri" w:hAnsi="Calibri"/>
          <w:color w:val="2D3748"/>
          <w:sz w:val="20"/>
        </w:rPr>
        <w:t>High-frequency transaction bursts violating typical business payment intervals.</w:t>
      </w:r>
    </w:p>
    <w:p>
      <w:pPr>
        <w:keepNext/>
        <w:spacing w:before="120" w:after="40"/>
      </w:pPr>
      <w:r>
        <w:rPr>
          <w:rFonts w:ascii="Calibri" w:hAnsi="Calibri"/>
          <w:b/>
          <w:color w:val="2D3748"/>
          <w:sz w:val="20"/>
        </w:rPr>
        <w:t>Dataset 3 (SAP Würzburg) Attribution</w:t>
      </w:r>
    </w:p>
    <w:p>
      <w:pPr>
        <w:spacing w:after="80" w:line="276" w:lineRule="auto"/>
        <w:jc w:val="both"/>
      </w:pPr>
      <w:r>
        <w:rPr>
          <w:rFonts w:ascii="Calibri" w:hAnsi="Calibri"/>
          <w:i w:val="0"/>
          <w:color w:val="2D3748"/>
          <w:sz w:val="20"/>
        </w:rPr>
        <w:t>In SAP Würzburg, relational accounting document types and ledger classifications govern risk:</w:t>
      </w:r>
    </w:p>
    <w:p>
      <w:pPr>
        <w:pStyle w:val="ListBullet"/>
        <w:spacing w:after="60" w:line="276" w:lineRule="auto"/>
        <w:jc w:val="both"/>
      </w:pPr>
      <w:r>
        <w:rPr>
          <w:rFonts w:ascii="Calibri" w:hAnsi="Calibri"/>
          <w:b/>
          <w:color w:val="2D3748"/>
          <w:sz w:val="20"/>
        </w:rPr>
        <w:t xml:space="preserve">1. tx_type_Materialzugang (SHAP +1.16): </w:t>
      </w:r>
      <w:r>
        <w:rPr>
          <w:rFonts w:ascii="Calibri" w:hAnsi="Calibri"/>
          <w:color w:val="2D3748"/>
          <w:sz w:val="20"/>
        </w:rPr>
        <w:t>High-risk goods receipt postings without matching purchase orders.</w:t>
      </w:r>
    </w:p>
    <w:p>
      <w:pPr>
        <w:pStyle w:val="ListBullet"/>
        <w:spacing w:after="60" w:line="276" w:lineRule="auto"/>
        <w:jc w:val="both"/>
      </w:pPr>
      <w:r>
        <w:rPr>
          <w:rFonts w:ascii="Calibri" w:hAnsi="Calibri"/>
          <w:b/>
          <w:color w:val="2D3748"/>
          <w:sz w:val="20"/>
        </w:rPr>
        <w:t xml:space="preserve">2. account_type_D (SHAP +0.48): </w:t>
      </w:r>
      <w:r>
        <w:rPr>
          <w:rFonts w:ascii="Calibri" w:hAnsi="Calibri"/>
          <w:color w:val="2D3748"/>
          <w:sz w:val="20"/>
        </w:rPr>
        <w:t>Direct vendor/customer balance sheet line postings bypassing automated subledgers.</w:t>
      </w:r>
    </w:p>
    <w:p>
      <w:pPr>
        <w:pStyle w:val="ListBullet"/>
        <w:spacing w:after="60" w:line="276" w:lineRule="auto"/>
        <w:jc w:val="both"/>
      </w:pPr>
      <w:r>
        <w:rPr>
          <w:rFonts w:ascii="Calibri" w:hAnsi="Calibri"/>
          <w:b/>
          <w:color w:val="2D3748"/>
          <w:sz w:val="20"/>
        </w:rPr>
        <w:t xml:space="preserve">3. fan_in (SHAP +0.30): </w:t>
      </w:r>
      <w:r>
        <w:rPr>
          <w:rFonts w:ascii="Calibri" w:hAnsi="Calibri"/>
          <w:color w:val="2D3748"/>
          <w:sz w:val="20"/>
        </w:rPr>
        <w:t>Mass settlement accounts aggregating anomalous general ledger vouchers.</w:t>
      </w:r>
    </w:p>
    <w:p>
      <w:pPr>
        <w:keepNext/>
        <w:spacing w:before="240" w:after="60"/>
      </w:pPr>
      <w:r>
        <w:rPr>
          <w:rFonts w:ascii="Calibri" w:hAnsi="Calibri"/>
          <w:b/>
          <w:color w:val="1B365D"/>
          <w:sz w:val="25"/>
        </w:rPr>
        <w:t>5. Production System Verification and Enterprise Audit Console</w:t>
      </w:r>
    </w:p>
    <w:p>
      <w:pPr>
        <w:spacing w:after="80" w:line="276" w:lineRule="auto"/>
        <w:jc w:val="both"/>
      </w:pPr>
      <w:r>
        <w:rPr>
          <w:rFonts w:ascii="Calibri" w:hAnsi="Calibri"/>
          <w:i w:val="0"/>
          <w:color w:val="2D3748"/>
          <w:sz w:val="20"/>
        </w:rPr>
        <w:t>To evaluate operational deployability, we integrated ChronoSentry into a continuous Procure-to-Pay (P2P) ERP simulation with an interactive forensic audit console (Fig. 9).</w:t>
      </w:r>
    </w:p>
    <w:p>
      <w:pPr>
        <w:keepNext/>
        <w:spacing w:before="120" w:after="40"/>
        <w:jc w:val="center"/>
      </w:pPr>
      <w:r>
        <w:drawing>
          <wp:inline xmlns:a="http://schemas.openxmlformats.org/drawingml/2006/main" xmlns:pic="http://schemas.openxmlformats.org/drawingml/2006/picture">
            <wp:extent cx="5852160" cy="3601329"/>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5852160" cy="3601329"/>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20"/>
        </w:rPr>
        <w:t>Serving Parity and Latency: Benchmark latency tests demonstrate that ChronoSentry's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5852160" cy="3043123"/>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5852160" cy="3043123"/>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20"/>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5"/>
        </w:rPr>
        <w:t>6. Conclusion</w:t>
      </w:r>
    </w:p>
    <w:p>
      <w:pPr>
        <w:spacing w:after="80" w:line="276" w:lineRule="auto"/>
        <w:jc w:val="both"/>
      </w:pPr>
      <w:r>
        <w:rPr>
          <w:rFonts w:ascii="Calibri" w:hAnsi="Calibri"/>
          <w:i w:val="0"/>
          <w:color w:val="2D3748"/>
          <w:sz w:val="20"/>
        </w:rPr>
        <w:t>This paper presented ChronoSentry: a leakage-free temporal graph topology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ChronoSentry bridges the gap between academic graph learning and continuous forensic auditing.</w:t>
      </w:r>
    </w:p>
    <w:p>
      <w:pPr>
        <w:keepNext/>
        <w:spacing w:before="240" w:after="60"/>
      </w:pPr>
      <w:r>
        <w:rPr>
          <w:rFonts w:ascii="Calibri" w:hAnsi="Calibri"/>
          <w:b/>
          <w:color w:val="1B365D"/>
          <w:sz w:val="25"/>
        </w:rPr>
        <w:t>References</w:t>
      </w:r>
    </w:p>
    <w:p>
      <w:pPr>
        <w:spacing w:after="40" w:line="276" w:lineRule="auto"/>
        <w:ind w:left="360"/>
        <w:jc w:val="both"/>
      </w:pPr>
      <w:r>
        <w:rPr>
          <w:rFonts w:ascii="Calibri" w:hAnsi="Calibri"/>
          <w:color w:val="2D3748"/>
          <w:sz w:val="19"/>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9"/>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9"/>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9"/>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9"/>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9"/>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9"/>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9"/>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9"/>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9"/>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9"/>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9"/>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9"/>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9"/>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9"/>
        </w:rPr>
        <w:t>[15] T. Li, A. K. Sahu, M. Zahir, M. Sanjabi, A. Talwalkar, and V. Smith, "Federated optimization in heterogeneous networks," in Proc. MLSys, 2020, pp. 429–450.</w:t>
      </w:r>
    </w:p>
    <w:p>
      <w:pPr>
        <w:spacing w:after="40" w:line="276" w:lineRule="auto"/>
        <w:ind w:left="360"/>
        <w:jc w:val="both"/>
      </w:pPr>
      <w:r>
        <w:rPr>
          <w:rFonts w:ascii="Calibri" w:hAnsi="Calibri"/>
          <w:color w:val="2D3748"/>
          <w:sz w:val="19"/>
        </w:rPr>
        <w:t>[16] S. P. Karimireddy, S. Kale, M. Mohri, S. Reddi, S. Stich, and A. T. Suresh, "SCAFFOLD: Stochastic controlled averaging for federated learning," in Proc. Int. Conf. Mach. Learn. (ICML), 2020, pp. 5132–5143.</w:t>
      </w:r>
    </w:p>
    <w:p>
      <w:pPr>
        <w:spacing w:after="40" w:line="276" w:lineRule="auto"/>
        <w:ind w:left="360"/>
        <w:jc w:val="both"/>
      </w:pPr>
      <w:r>
        <w:rPr>
          <w:rFonts w:ascii="Calibri" w:hAnsi="Calibri"/>
          <w:color w:val="2D3748"/>
          <w:sz w:val="19"/>
        </w:rPr>
        <w:t>[17] T.-Y. Lin, P. Goyal, R. Girshick, K. He, and P. Dollár, "Focal loss for dense object detection," in Proc. IEEE Int. Conf. Comput. Vis. (ICCV), 2017, pp. 2980–2988.</w:t>
      </w:r>
    </w:p>
    <w:p>
      <w:pPr>
        <w:spacing w:after="40" w:line="276" w:lineRule="auto"/>
        <w:ind w:left="360"/>
        <w:jc w:val="both"/>
      </w:pPr>
      <w:r>
        <w:rPr>
          <w:rFonts w:ascii="Calibri" w:hAnsi="Calibri"/>
          <w:color w:val="2D3748"/>
          <w:sz w:val="19"/>
        </w:rPr>
        <w:t>[18] S. M. Lundberg, G. Erion, H. Chen, A. DeGrave, J. M. Prutkin, B. Nair, R. Katz, P. C. Himmelfarb, N. Bansal, and S.-I. Lee, "From local explanations to global understanding with explainable AI for trees," Nature Machine Intelligence, vol. 2, no. 1, pp. 56–67, 2020.</w:t>
      </w:r>
    </w:p>
    <w:p>
      <w:pPr>
        <w:spacing w:after="40" w:line="276" w:lineRule="auto"/>
        <w:ind w:left="360"/>
        <w:jc w:val="both"/>
      </w:pPr>
      <w:r>
        <w:rPr>
          <w:rFonts w:ascii="Calibri" w:hAnsi="Calibri"/>
          <w:color w:val="2D3748"/>
          <w:sz w:val="19"/>
        </w:rPr>
        <w:t>[19] T. Chen and C. Guestrin, "XGBoost: A scalable tree boosting system," in Proc. ACM SIGKDD Int. Conf. Knowl. Discov. Data Min., 2016, pp. 785–794.</w:t>
      </w:r>
    </w:p>
    <w:p>
      <w:pPr>
        <w:spacing w:after="40" w:line="276" w:lineRule="auto"/>
        <w:ind w:left="360"/>
        <w:jc w:val="both"/>
      </w:pPr>
      <w:r>
        <w:rPr>
          <w:rFonts w:ascii="Calibri" w:hAnsi="Calibri"/>
          <w:color w:val="2D3748"/>
          <w:sz w:val="19"/>
        </w:rPr>
        <w:t>[20] B. P. Welford, "Note on a method for calculating corrected sums of squares and products," Technometrics, vol. 4, no. 3, pp. 419–420, 1962.</w:t>
      </w:r>
    </w:p>
    <w:sectPr w:rsidR="00FC693F" w:rsidRPr="0006063C" w:rsidSect="00034616">
      <w:headerReference w:type="default" r:id="rId9"/>
      <w:footerReference w:type="default" r:id="rId10"/>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ChronoSentry: Leakage-Free Temporal Graph Topology for Streaming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