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48"/>
        </w:rPr>
        <w:t>The Self-Auditing Ledger</w:t>
      </w:r>
    </w:p>
    <w:p>
      <w:pPr>
        <w:spacing w:after="40"/>
        <w:jc w:val="center"/>
      </w:pPr>
      <w:r>
        <w:rPr>
          <w:b w:val="0"/>
          <w:i w:val="0"/>
          <w:sz w:val="28"/>
        </w:rPr>
        <w:t>ERP Fraud Detection via Temporal Graph Topology</w:t>
      </w:r>
    </w:p>
    <w:p>
      <w:pPr>
        <w:spacing w:after="360"/>
        <w:jc w:val="center"/>
      </w:pPr>
      <w:r>
        <w:rPr>
          <w:b w:val="0"/>
          <w:i/>
          <w:sz w:val="22"/>
        </w:rPr>
        <w:t>Project Progress Report  —  4 July 2026</w:t>
      </w:r>
    </w:p>
    <w:p>
      <w:pPr>
        <w:pStyle w:val="Heading1"/>
      </w:pPr>
      <w:r>
        <w:t>1.  Executive Summary</w:t>
      </w:r>
    </w:p>
    <w:p>
      <w:pPr>
        <w:spacing w:after="120"/>
      </w:pPr>
      <w:r>
        <w:rPr>
          <w:b w:val="0"/>
          <w:i w:val="0"/>
        </w:rPr>
        <w:t>The Self-Auditing Ledger is a fraud-detection research system for ERP (Enterprise Resource Planning) transaction data. Instead of judging each transaction in isolation, it converts a company's transaction history into a temporal graph — a time-stamped network of who-paid-whom — and searches that network for suspicious shapes: money moving in circles, many accounts funnelling into one, rapid multi-step transfer chains. These shape measurements (“topology features”) are combined with ordinary transaction features and fed to a machine-learning model that scores each transaction's fraud risk. Every alert is explainable: the system reports which features drove the score and draws the actual suspicious path from the graph.</w:t>
      </w:r>
    </w:p>
    <w:p>
      <w:pPr>
        <w:spacing w:after="120"/>
      </w:pPr>
      <w:r>
        <w:rPr>
          <w:b w:val="0"/>
          <w:i w:val="0"/>
        </w:rPr>
        <w:t>The scientific question the project answers is deliberately narrow and defensible: do graph-topology features add real predictive value on top of a strong tabular baseline, when measured fairly and without data leakage? This question had never been answered honestly — an earlier version of the project claimed success, but our audit showed its results were invalidated by data leakage and contradicted by its own feature-importance reports. We rebuilt the system from scratch with a leakage-free-by-construction architecture and committed, in advance, to reporting the result either way.</w:t>
      </w:r>
    </w:p>
    <w:p>
      <w:pPr>
        <w:spacing w:after="120"/>
      </w:pPr>
      <w:r>
        <w:rPr>
          <w:b/>
        </w:rPr>
        <w:t xml:space="preserve">Headline result so far: </w:t>
      </w:r>
      <w:r>
        <w:rPr>
          <w:b w:val="0"/>
        </w:rPr>
        <w:t>graph structure adds real, leakage-free predictive value — but conditionally and modestly. On BankSim, pure structural features lift PR-AUC by +11.7% over a strong tabular baseline. On IBM AML the baseline is already saturated by an amount signal, so structure adds little on top, though it carries a genuine independent signal (+0.09 PR-AUC in an amount-blind probe). The signal that works is simple network density (fan-in / in-degree); the more elaborate detectors (cycle shape, lapping) turned out to be redundant or amount-derived. These nuanced, honest findings — including the partial negative — are the contribution.</w:t>
      </w:r>
    </w:p>
    <w:p>
      <w:pPr>
        <w:pStyle w:val="Heading1"/>
      </w:pPr>
      <w:r>
        <w:t>2.  About the Project — What, How, and Why</w:t>
      </w:r>
    </w:p>
    <w:p>
      <w:pPr>
        <w:pStyle w:val="Heading2"/>
      </w:pPr>
      <w:r>
        <w:t>2.1  What it does</w:t>
      </w:r>
    </w:p>
    <w:p>
      <w:pPr>
        <w:spacing w:after="120"/>
      </w:pPr>
      <w:r>
        <w:rPr>
          <w:b w:val="0"/>
          <w:i w:val="0"/>
        </w:rPr>
        <w:t>Most fraud-detection systems ask: “is this $5,000 payment unusual on its own?” That misses an entire class of fraud, because real financial fraud is usually a pattern spread across several connected transactions, none of which looks wrong individually:</w:t>
      </w:r>
    </w:p>
    <w:p>
      <w:pPr>
        <w:pStyle w:val="ListBullet"/>
      </w:pPr>
      <w:r>
        <w:rPr>
          <w:b/>
        </w:rPr>
        <w:t xml:space="preserve">Circular payments: </w:t>
      </w:r>
      <w:r>
        <w:t>A pays B, B pays C, C pays A — money returns to its origin (laundering / round-tripping).</w:t>
      </w:r>
    </w:p>
    <w:p>
      <w:pPr>
        <w:pStyle w:val="ListBullet"/>
      </w:pPr>
      <w:r>
        <w:rPr>
          <w:b/>
        </w:rPr>
        <w:t xml:space="preserve">Fan-in / collection: </w:t>
      </w:r>
      <w:r>
        <w:t>many accounts rapidly funnel money into one account (a classic money-mule pattern).</w:t>
      </w:r>
    </w:p>
    <w:p>
      <w:pPr>
        <w:pStyle w:val="ListBullet"/>
      </w:pPr>
      <w:r>
        <w:rPr>
          <w:b/>
        </w:rPr>
        <w:t xml:space="preserve">Rapid transfer chains: </w:t>
      </w:r>
      <w:r>
        <w:t>money hops A→B→C→D in minutes to hide the trail (layering).</w:t>
      </w:r>
    </w:p>
    <w:p>
      <w:pPr>
        <w:pStyle w:val="ListBullet"/>
      </w:pPr>
      <w:r>
        <w:rPr>
          <w:b/>
        </w:rPr>
        <w:t xml:space="preserve">Lapping: </w:t>
      </w:r>
      <w:r>
        <w:t>new incoming money repeatedly covers a previously stolen amount (“robbing Peter to pay Paul”).</w:t>
      </w:r>
    </w:p>
    <w:p>
      <w:pPr>
        <w:spacing w:after="120"/>
      </w:pPr>
      <w:r>
        <w:rPr>
          <w:b w:val="0"/>
          <w:i w:val="0"/>
        </w:rPr>
        <w:t>These patterns only become visible when the money flow is drawn as a network and its shape is examined. That network is the “Shadow Graph” — a live mirror of the ERP's transactions in which accounts are nodes and each payment is a directed, time-stamped edge.</w:t>
      </w:r>
    </w:p>
    <w:p>
      <w:pPr>
        <w:pStyle w:val="Heading2"/>
      </w:pPr>
      <w:r>
        <w:t>2.2  How it works</w:t>
      </w:r>
    </w:p>
    <w:p>
      <w:pPr>
        <w:spacing w:after="120"/>
      </w:pPr>
      <w:r>
        <w:rPr>
          <w:b w:val="0"/>
          <w:i w:val="0"/>
        </w:rPr>
        <w:t>The system operates in two conceptual phases. Phase 1 builds the temporal Shadow Graph and, for every transaction, extracts numerical topology features (does this transaction close a cycle? how many distinct senders hit its destination recently? how central is the account?). Phase 2 trains a supervised machine-learning model on the resulting per-transaction feature table and evaluates it with a rigorous, time-aware protocol. The word “temporal” is essential: every edge carries a timestamp, and each transaction's features are computed only from transactions that happened at or before its own time — exactly like an auditor watching transactions arrive one by one, who can see the past but never the future.</w:t>
      </w:r>
    </w:p>
    <w:p>
      <w:pPr>
        <w:pStyle w:val="Heading2"/>
      </w:pPr>
      <w:r>
        <w:t>2.3  Why — the motivating audit of the prior version</w:t>
      </w:r>
    </w:p>
    <w:p>
      <w:pPr>
        <w:spacing w:after="120"/>
      </w:pPr>
      <w:r>
        <w:rPr>
          <w:b w:val="0"/>
          <w:i w:val="0"/>
        </w:rPr>
        <w:t>An earlier version of this project ran six datasets and concluded that “graph topology is the ultimate differentiator.” Before writing any new code, we audited it and found two serious problems:</w:t>
      </w:r>
    </w:p>
    <w:p>
      <w:pPr>
        <w:pStyle w:val="ListBullet"/>
      </w:pPr>
      <w:r>
        <w:rPr>
          <w:b/>
        </w:rPr>
        <w:t xml:space="preserve">The claim was contradicted by its own results. </w:t>
      </w:r>
      <w:r>
        <w:t>On its flagship dataset, the model's own feature-importance report attributed the predictive signal almost entirely to the raw transaction amount (62%); every graph-shape feature scored 0.0 importance.</w:t>
      </w:r>
    </w:p>
    <w:p>
      <w:pPr>
        <w:pStyle w:val="ListBullet"/>
      </w:pPr>
      <w:r>
        <w:rPr>
          <w:b/>
        </w:rPr>
        <w:t xml:space="preserve">The impressive scores were inflated by data leakage. </w:t>
      </w:r>
      <w:r>
        <w:t>The feature engine computed each transaction's graph features from the entire dataset, including future transactions (one top feature was literally “time until the next transaction”), and the evaluation shuffled past and future randomly, stacked two imbalance corrections, and never tuned its decision threshold.</w:t>
      </w:r>
    </w:p>
    <w:p>
      <w:pPr>
        <w:spacing w:after="120"/>
      </w:pPr>
      <w:r>
        <w:rPr>
          <w:b w:val="0"/>
          <w:i w:val="0"/>
        </w:rPr>
        <w:t>The conclusion was that the central idea had never actually been tested fairly. The old scores (e.g. “99.7% AUC”) are not trustworthy, so the rebuild does not aim to “beat” them — it discards them and produces the first honest numbers. Finding and fixing this flaw is itself a substantive part of the project's contribution.</w:t>
      </w:r>
    </w:p>
    <w:p>
      <w:pPr>
        <w:pStyle w:val="Heading1"/>
      </w:pPr>
      <w:r>
        <w:t>3.  Finalized Architecture and Pipeline</w:t>
      </w:r>
    </w:p>
    <w:p>
      <w:pPr>
        <w:spacing w:after="120"/>
      </w:pPr>
      <w:r>
        <w:rPr>
          <w:b w:val="0"/>
          <w:i w:val="0"/>
        </w:rPr>
        <w:t>The architecture is locked; data flows through seven stages:</w:t>
      </w:r>
    </w:p>
    <w:tbl>
      <w:tblPr>
        <w:tblStyle w:val="LightGrid-Accent1"/>
        <w:tblW w:type="auto" w:w="0"/>
        <w:jc w:val="center"/>
        <w:tblLook w:firstColumn="1" w:firstRow="1" w:lastColumn="0" w:lastRow="0" w:noHBand="0" w:noVBand="1" w:val="04A0"/>
      </w:tblPr>
      <w:tblGrid>
        <w:gridCol w:w="2880"/>
        <w:gridCol w:w="2880"/>
        <w:gridCol w:w="2880"/>
      </w:tblGrid>
      <w:tr>
        <w:tc>
          <w:tcPr>
            <w:tcW w:type="dxa" w:w="720"/>
          </w:tcPr>
          <w:p>
            <w:r/>
            <w:r>
              <w:rPr>
                <w:b/>
                <w:sz w:val="19"/>
              </w:rPr>
              <w:t>Stage</w:t>
            </w:r>
          </w:p>
        </w:tc>
        <w:tc>
          <w:tcPr>
            <w:tcW w:type="dxa" w:w="2304"/>
          </w:tcPr>
          <w:p>
            <w:r/>
            <w:r>
              <w:rPr>
                <w:b/>
                <w:sz w:val="19"/>
              </w:rPr>
              <w:t>Component</w:t>
            </w:r>
          </w:p>
        </w:tc>
        <w:tc>
          <w:tcPr>
            <w:tcW w:type="dxa" w:w="6624"/>
          </w:tcPr>
          <w:p>
            <w:r/>
            <w:r>
              <w:rPr>
                <w:b/>
                <w:sz w:val="19"/>
              </w:rPr>
              <w:t>Responsibility</w:t>
            </w:r>
          </w:p>
        </w:tc>
      </w:tr>
      <w:tr>
        <w:tc>
          <w:tcPr>
            <w:tcW w:type="dxa" w:w="720"/>
          </w:tcPr>
          <w:p>
            <w:r/>
            <w:r>
              <w:rPr>
                <w:sz w:val="19"/>
              </w:rPr>
              <w:t>1</w:t>
            </w:r>
          </w:p>
        </w:tc>
        <w:tc>
          <w:tcPr>
            <w:tcW w:type="dxa" w:w="2304"/>
          </w:tcPr>
          <w:p>
            <w:r/>
            <w:r>
              <w:rPr>
                <w:sz w:val="19"/>
              </w:rPr>
              <w:t>ETL</w:t>
            </w:r>
          </w:p>
        </w:tc>
        <w:tc>
          <w:tcPr>
            <w:tcW w:type="dxa" w:w="6624"/>
          </w:tcPr>
          <w:p>
            <w:r/>
            <w:r>
              <w:rPr>
                <w:sz w:val="19"/>
              </w:rPr>
              <w:t>Convert each dataset's raw CSVs into one canonical form: accounts (nodes) + transactions (time-stamped, labelled directed edges), with a single unified account namespace.</w:t>
            </w:r>
          </w:p>
        </w:tc>
      </w:tr>
      <w:tr>
        <w:tc>
          <w:tcPr>
            <w:tcW w:type="dxa" w:w="720"/>
          </w:tcPr>
          <w:p>
            <w:r/>
            <w:r>
              <w:rPr>
                <w:sz w:val="19"/>
              </w:rPr>
              <w:t>2</w:t>
            </w:r>
          </w:p>
        </w:tc>
        <w:tc>
          <w:tcPr>
            <w:tcW w:type="dxa" w:w="2304"/>
          </w:tcPr>
          <w:p>
            <w:r/>
            <w:r>
              <w:rPr>
                <w:sz w:val="19"/>
              </w:rPr>
              <w:t>Shadow Graph</w:t>
            </w:r>
          </w:p>
        </w:tc>
        <w:tc>
          <w:tcPr>
            <w:tcW w:type="dxa" w:w="6624"/>
          </w:tcPr>
          <w:p>
            <w:r/>
            <w:r>
              <w:rPr>
                <w:sz w:val="19"/>
              </w:rPr>
              <w:t>The temporal money-flow network built from the canonical edges.</w:t>
            </w:r>
          </w:p>
        </w:tc>
      </w:tr>
      <w:tr>
        <w:tc>
          <w:tcPr>
            <w:tcW w:type="dxa" w:w="720"/>
          </w:tcPr>
          <w:p>
            <w:r/>
            <w:r>
              <w:rPr>
                <w:sz w:val="19"/>
              </w:rPr>
              <w:t>3</w:t>
            </w:r>
          </w:p>
        </w:tc>
        <w:tc>
          <w:tcPr>
            <w:tcW w:type="dxa" w:w="2304"/>
          </w:tcPr>
          <w:p>
            <w:r/>
            <w:r>
              <w:rPr>
                <w:sz w:val="19"/>
              </w:rPr>
              <w:t>Temporal Topology Engine</w:t>
            </w:r>
          </w:p>
        </w:tc>
        <w:tc>
          <w:tcPr>
            <w:tcW w:type="dxa" w:w="6624"/>
          </w:tcPr>
          <w:p>
            <w:r/>
            <w:r>
              <w:rPr>
                <w:sz w:val="19"/>
              </w:rPr>
              <w:t>Stream transactions in time order; for each one, measure graph shapes (cycle, fan-in/out, degree, lapping) strictly from the past, then insert it into the graph. Look-ahead is structurally impossible.</w:t>
            </w:r>
          </w:p>
        </w:tc>
      </w:tr>
      <w:tr>
        <w:tc>
          <w:tcPr>
            <w:tcW w:type="dxa" w:w="720"/>
          </w:tcPr>
          <w:p>
            <w:r/>
            <w:r>
              <w:rPr>
                <w:sz w:val="19"/>
              </w:rPr>
              <w:t>4</w:t>
            </w:r>
          </w:p>
        </w:tc>
        <w:tc>
          <w:tcPr>
            <w:tcW w:type="dxa" w:w="2304"/>
          </w:tcPr>
          <w:p>
            <w:r/>
            <w:r>
              <w:rPr>
                <w:sz w:val="19"/>
              </w:rPr>
              <w:t>Feature Table</w:t>
            </w:r>
          </w:p>
        </w:tc>
        <w:tc>
          <w:tcPr>
            <w:tcW w:type="dxa" w:w="6624"/>
          </w:tcPr>
          <w:p>
            <w:r/>
            <w:r>
              <w:rPr>
                <w:sz w:val="19"/>
              </w:rPr>
              <w:t>One row per transaction: ordinary features + topology features + fraud label. Ordinary and topology columns are kept separable for the ablation.</w:t>
            </w:r>
          </w:p>
        </w:tc>
      </w:tr>
      <w:tr>
        <w:tc>
          <w:tcPr>
            <w:tcW w:type="dxa" w:w="720"/>
          </w:tcPr>
          <w:p>
            <w:r/>
            <w:r>
              <w:rPr>
                <w:sz w:val="19"/>
              </w:rPr>
              <w:t>5</w:t>
            </w:r>
          </w:p>
        </w:tc>
        <w:tc>
          <w:tcPr>
            <w:tcW w:type="dxa" w:w="2304"/>
          </w:tcPr>
          <w:p>
            <w:r/>
            <w:r>
              <w:rPr>
                <w:sz w:val="19"/>
              </w:rPr>
              <w:t>Model</w:t>
            </w:r>
          </w:p>
        </w:tc>
        <w:tc>
          <w:tcPr>
            <w:tcW w:type="dxa" w:w="6624"/>
          </w:tcPr>
          <w:p>
            <w:r/>
            <w:r>
              <w:rPr>
                <w:sz w:val="19"/>
              </w:rPr>
              <w:t>Class-weighted gradient-boosted trees (XGBoost) producing a fraud probability.</w:t>
            </w:r>
          </w:p>
        </w:tc>
      </w:tr>
      <w:tr>
        <w:tc>
          <w:tcPr>
            <w:tcW w:type="dxa" w:w="720"/>
          </w:tcPr>
          <w:p>
            <w:r/>
            <w:r>
              <w:rPr>
                <w:sz w:val="19"/>
              </w:rPr>
              <w:t>6</w:t>
            </w:r>
          </w:p>
        </w:tc>
        <w:tc>
          <w:tcPr>
            <w:tcW w:type="dxa" w:w="2304"/>
          </w:tcPr>
          <w:p>
            <w:r/>
            <w:r>
              <w:rPr>
                <w:sz w:val="19"/>
              </w:rPr>
              <w:t>Evaluation &amp; Ablation</w:t>
            </w:r>
          </w:p>
        </w:tc>
        <w:tc>
          <w:tcPr>
            <w:tcW w:type="dxa" w:w="6624"/>
          </w:tcPr>
          <w:p>
            <w:r/>
            <w:r>
              <w:rPr>
                <w:sz w:val="19"/>
              </w:rPr>
              <w:t>Time-aware train/validation/test split; compare baseline vs baseline+topology on PR-AUC and precision@k.</w:t>
            </w:r>
          </w:p>
        </w:tc>
      </w:tr>
      <w:tr>
        <w:tc>
          <w:tcPr>
            <w:tcW w:type="dxa" w:w="720"/>
          </w:tcPr>
          <w:p>
            <w:r/>
            <w:r>
              <w:rPr>
                <w:sz w:val="19"/>
              </w:rPr>
              <w:t>7</w:t>
            </w:r>
          </w:p>
        </w:tc>
        <w:tc>
          <w:tcPr>
            <w:tcW w:type="dxa" w:w="2304"/>
          </w:tcPr>
          <w:p>
            <w:r/>
            <w:r>
              <w:rPr>
                <w:sz w:val="19"/>
              </w:rPr>
              <w:t>Explainable Audit Alert</w:t>
            </w:r>
          </w:p>
        </w:tc>
        <w:tc>
          <w:tcPr>
            <w:tcW w:type="dxa" w:w="6624"/>
          </w:tcPr>
          <w:p>
            <w:r/>
            <w:r>
              <w:rPr>
                <w:sz w:val="19"/>
              </w:rPr>
              <w:t>SHAP feature attributions + the actual suspicious path, visualised in Neo4j (the demo layer).</w:t>
            </w:r>
          </w:p>
        </w:tc>
      </w:tr>
    </w:tbl>
    <w:p>
      <w:pPr>
        <w:spacing w:after="40"/>
      </w:pPr>
    </w:p>
    <w:p>
      <w:pPr>
        <w:pStyle w:val="Heading2"/>
      </w:pPr>
      <w:r>
        <w:t>3.1  The key engineering decision</w:t>
      </w:r>
    </w:p>
    <w:p>
      <w:pPr>
        <w:spacing w:after="120"/>
      </w:pPr>
      <w:r>
        <w:rPr>
          <w:b w:val="0"/>
          <w:i w:val="0"/>
        </w:rPr>
        <w:t>All heavy computation runs in Python (Pandas + NetworkX-style incremental structures); Neo4j is used only for visualization and path explanation. The prior version attempted the heavy computation inside Neo4j, ran out of memory on the larger datasets, and silently disabled topology — one more reason its results were meaningless. Separating the compute path (reproducible, scalable, leakage-safe Python) from the demo path (Neo4j's genuine strength: visual explanation) removes that failure mode.</w:t>
      </w:r>
    </w:p>
    <w:p>
      <w:pPr>
        <w:pStyle w:val="Heading2"/>
      </w:pPr>
      <w:r>
        <w:t>3.2  Methodology safeguards (non-negotiable rules)</w:t>
      </w:r>
    </w:p>
    <w:p>
      <w:pPr>
        <w:spacing w:after="120"/>
      </w:pPr>
      <w:r>
        <w:rPr>
          <w:b w:val="0"/>
          <w:i w:val="0"/>
        </w:rPr>
        <w:t>Each rule below corrects a concrete flaw found in the prior version:</w:t>
      </w:r>
    </w:p>
    <w:p>
      <w:pPr>
        <w:pStyle w:val="ListBullet"/>
      </w:pPr>
      <w:r>
        <w:rPr>
          <w:b/>
        </w:rPr>
        <w:t xml:space="preserve">Time-aware evaluation only. </w:t>
      </w:r>
      <w:r>
        <w:t>Train on earlier periods, test on later ones; never randomly shuffled folds (shuffling leaks the future into the past).</w:t>
      </w:r>
    </w:p>
    <w:p>
      <w:pPr>
        <w:pStyle w:val="ListBullet"/>
      </w:pPr>
      <w:r>
        <w:rPr>
          <w:b/>
        </w:rPr>
        <w:t xml:space="preserve">No look-ahead through the graph. </w:t>
      </w:r>
      <w:r>
        <w:t>Features at time T use only data with timestamp ≤ T; no whole-dataset statistics (all averages/z-scores are expanding over the past only); a structure's signal is credited to the transaction that completes it. An automated leakage test (scramble future transactions → past features must not change) guards this and passes on all datasets.</w:t>
      </w:r>
    </w:p>
    <w:p>
      <w:pPr>
        <w:pStyle w:val="ListBullet"/>
      </w:pPr>
      <w:r>
        <w:rPr>
          <w:b/>
        </w:rPr>
        <w:t xml:space="preserve">Exactly one imbalance mechanism. </w:t>
      </w:r>
      <w:r>
        <w:t>Class weights by default; never SMOTE and class weights together. SMOTE is avoided for graph features because a synthetic “half-cycle” is physically meaningless.</w:t>
      </w:r>
    </w:p>
    <w:p>
      <w:pPr>
        <w:pStyle w:val="ListBullet"/>
      </w:pPr>
      <w:r>
        <w:rPr>
          <w:b/>
        </w:rPr>
        <w:t xml:space="preserve">Tuned, frozen decision threshold. </w:t>
      </w:r>
      <w:r>
        <w:t>The classification cutoff is chosen on a validation period and frozen before the test set; metrics are never reported at an arbitrary 0.5.</w:t>
      </w:r>
    </w:p>
    <w:p>
      <w:pPr>
        <w:pStyle w:val="ListBullet"/>
      </w:pPr>
      <w:r>
        <w:rPr>
          <w:b/>
        </w:rPr>
        <w:t xml:space="preserve">Right metrics for rare events. </w:t>
      </w:r>
      <w:r>
        <w:t>PR-AUC (average precision) is the primary and model-selection metric, with precision@k / recall@k (what an auditor reviewing the top-N daily alerts actually experiences). ROC-AUC is reported but not relied on.</w:t>
      </w:r>
    </w:p>
    <w:p>
      <w:pPr>
        <w:pStyle w:val="ListBullet"/>
      </w:pPr>
      <w:r>
        <w:rPr>
          <w:b/>
        </w:rPr>
        <w:t xml:space="preserve">Persisted artifacts. </w:t>
      </w:r>
      <w:r>
        <w:t>Every model is saved with its scaler and frozen threshold so any result is exactly reproducible.</w:t>
      </w:r>
    </w:p>
    <w:p>
      <w:pPr>
        <w:pStyle w:val="Heading1"/>
      </w:pPr>
      <w:r>
        <w:t>4.  Datasets and Results</w:t>
      </w:r>
    </w:p>
    <w:p>
      <w:pPr>
        <w:pStyle w:val="Heading2"/>
      </w:pPr>
      <w:r>
        <w:t>4.1  The dataset roster and why it is shaped this way</w:t>
      </w:r>
    </w:p>
    <w:p>
      <w:pPr>
        <w:spacing w:after="120"/>
      </w:pPr>
      <w:r>
        <w:rPr>
          <w:b w:val="0"/>
          <w:i w:val="0"/>
        </w:rPr>
        <w:t>Because the research question is “does graph structure help?”, the datasets are deliberately chosen along a spectrum of graph richness, and the same within-dataset test is run on each. If topology helps more where structure is rich and less where it is flat, that trend is strong evidence. All four datasets are public, labelled, and extremely imbalanced (0.12%–1.21% fraud), which is what drives the metric and imbalance rules above.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584"/>
          </w:tcPr>
          <w:p>
            <w:r/>
            <w:r>
              <w:rPr>
                <w:b/>
                <w:sz w:val="19"/>
              </w:rPr>
              <w:t>Dataset</w:t>
            </w:r>
          </w:p>
        </w:tc>
        <w:tc>
          <w:tcPr>
            <w:tcW w:type="dxa" w:w="1440"/>
          </w:tcPr>
          <w:p>
            <w:r/>
            <w:r>
              <w:rPr>
                <w:b/>
                <w:sz w:val="19"/>
              </w:rPr>
              <w:t>Transactions</w:t>
            </w:r>
          </w:p>
        </w:tc>
        <w:tc>
          <w:tcPr>
            <w:tcW w:type="dxa" w:w="1440"/>
          </w:tcPr>
          <w:p>
            <w:r/>
            <w:r>
              <w:rPr>
                <w:b/>
                <w:sz w:val="19"/>
              </w:rPr>
              <w:t>Accounts</w:t>
            </w:r>
          </w:p>
        </w:tc>
        <w:tc>
          <w:tcPr>
            <w:tcW w:type="dxa" w:w="1440"/>
          </w:tcPr>
          <w:p>
            <w:r/>
            <w:r>
              <w:rPr>
                <w:b/>
                <w:sz w:val="19"/>
              </w:rPr>
              <w:t>Frauds (rate)</w:t>
            </w:r>
          </w:p>
        </w:tc>
        <w:tc>
          <w:tcPr>
            <w:tcW w:type="dxa" w:w="2736"/>
          </w:tcPr>
          <w:p>
            <w:r/>
            <w:r>
              <w:rPr>
                <w:b/>
                <w:sz w:val="19"/>
              </w:rPr>
              <w:t>Graph structure</w:t>
            </w:r>
          </w:p>
        </w:tc>
        <w:tc>
          <w:tcPr>
            <w:tcW w:type="dxa" w:w="2016"/>
          </w:tcPr>
          <w:p>
            <w:r/>
            <w:r>
              <w:rPr>
                <w:b/>
                <w:sz w:val="19"/>
              </w:rPr>
              <w:t>Role</w:t>
            </w:r>
          </w:p>
        </w:tc>
      </w:tr>
      <w:tr>
        <w:tc>
          <w:tcPr>
            <w:tcW w:type="dxa" w:w="1584"/>
          </w:tcPr>
          <w:p>
            <w:r/>
            <w:r>
              <w:rPr>
                <w:sz w:val="19"/>
              </w:rPr>
              <w:t>IBM AML (AMLSim)</w:t>
            </w:r>
          </w:p>
        </w:tc>
        <w:tc>
          <w:tcPr>
            <w:tcW w:type="dxa" w:w="1440"/>
          </w:tcPr>
          <w:p>
            <w:r/>
            <w:r>
              <w:rPr>
                <w:sz w:val="19"/>
              </w:rPr>
              <w:t>1,323,234</w:t>
            </w:r>
          </w:p>
        </w:tc>
        <w:tc>
          <w:tcPr>
            <w:tcW w:type="dxa" w:w="1440"/>
          </w:tcPr>
          <w:p>
            <w:r/>
            <w:r>
              <w:rPr>
                <w:sz w:val="19"/>
              </w:rPr>
              <w:t>10,000</w:t>
            </w:r>
          </w:p>
        </w:tc>
        <w:tc>
          <w:tcPr>
            <w:tcW w:type="dxa" w:w="1440"/>
          </w:tcPr>
          <w:p>
            <w:r/>
            <w:r>
              <w:rPr>
                <w:sz w:val="19"/>
              </w:rPr>
              <w:t>1,719 (0.13%)</w:t>
            </w:r>
          </w:p>
        </w:tc>
        <w:tc>
          <w:tcPr>
            <w:tcW w:type="dxa" w:w="2736"/>
          </w:tcPr>
          <w:p>
            <w:r/>
            <w:r>
              <w:rPr>
                <w:sz w:val="19"/>
              </w:rPr>
              <w:t>Dense, cycle-rich; every fraud is a labelled shape (936 cycles + 783 fan-ins)</w:t>
            </w:r>
          </w:p>
        </w:tc>
        <w:tc>
          <w:tcPr>
            <w:tcW w:type="dxa" w:w="2016"/>
          </w:tcPr>
          <w:p>
            <w:r/>
            <w:r>
              <w:rPr>
                <w:sz w:val="19"/>
              </w:rPr>
              <w:t>Primary topology testbed</w:t>
            </w:r>
          </w:p>
        </w:tc>
      </w:tr>
      <w:tr>
        <w:tc>
          <w:tcPr>
            <w:tcW w:type="dxa" w:w="1584"/>
          </w:tcPr>
          <w:p>
            <w:r/>
            <w:r>
              <w:rPr>
                <w:sz w:val="19"/>
              </w:rPr>
              <w:t>BankSim</w:t>
            </w:r>
          </w:p>
        </w:tc>
        <w:tc>
          <w:tcPr>
            <w:tcW w:type="dxa" w:w="1440"/>
          </w:tcPr>
          <w:p>
            <w:r/>
            <w:r>
              <w:rPr>
                <w:sz w:val="19"/>
              </w:rPr>
              <w:t>594,643</w:t>
            </w:r>
          </w:p>
        </w:tc>
        <w:tc>
          <w:tcPr>
            <w:tcW w:type="dxa" w:w="1440"/>
          </w:tcPr>
          <w:p>
            <w:r/>
            <w:r>
              <w:rPr>
                <w:sz w:val="19"/>
              </w:rPr>
              <w:t>4,162</w:t>
            </w:r>
          </w:p>
        </w:tc>
        <w:tc>
          <w:tcPr>
            <w:tcW w:type="dxa" w:w="1440"/>
          </w:tcPr>
          <w:p>
            <w:r/>
            <w:r>
              <w:rPr>
                <w:sz w:val="19"/>
              </w:rPr>
              <w:t>7,200 (1.21%)</w:t>
            </w:r>
          </w:p>
        </w:tc>
        <w:tc>
          <w:tcPr>
            <w:tcW w:type="dxa" w:w="2736"/>
          </w:tcPr>
          <w:p>
            <w:r/>
            <w:r>
              <w:rPr>
                <w:sz w:val="19"/>
              </w:rPr>
              <w:t>Pure bipartite (customer→merchant; cycles impossible)</w:t>
            </w:r>
          </w:p>
        </w:tc>
        <w:tc>
          <w:tcPr>
            <w:tcW w:type="dxa" w:w="2016"/>
          </w:tcPr>
          <w:p>
            <w:r/>
            <w:r>
              <w:rPr>
                <w:sz w:val="19"/>
              </w:rPr>
              <w:t>Structural control</w:t>
            </w:r>
          </w:p>
        </w:tc>
      </w:tr>
      <w:tr>
        <w:tc>
          <w:tcPr>
            <w:tcW w:type="dxa" w:w="1584"/>
          </w:tcPr>
          <w:p>
            <w:r/>
            <w:r>
              <w:rPr>
                <w:sz w:val="19"/>
              </w:rPr>
              <w:t>PaySim</w:t>
            </w:r>
          </w:p>
        </w:tc>
        <w:tc>
          <w:tcPr>
            <w:tcW w:type="dxa" w:w="1440"/>
          </w:tcPr>
          <w:p>
            <w:r/>
            <w:r>
              <w:rPr>
                <w:sz w:val="19"/>
              </w:rPr>
              <w:t>6,362,620</w:t>
            </w:r>
          </w:p>
        </w:tc>
        <w:tc>
          <w:tcPr>
            <w:tcW w:type="dxa" w:w="1440"/>
          </w:tcPr>
          <w:p>
            <w:r/>
            <w:r>
              <w:rPr>
                <w:sz w:val="19"/>
              </w:rPr>
              <w:t>9,073,900</w:t>
            </w:r>
          </w:p>
        </w:tc>
        <w:tc>
          <w:tcPr>
            <w:tcW w:type="dxa" w:w="1440"/>
          </w:tcPr>
          <w:p>
            <w:r/>
            <w:r>
              <w:rPr>
                <w:sz w:val="19"/>
              </w:rPr>
              <w:t>8,213 (0.13%)</w:t>
            </w:r>
          </w:p>
        </w:tc>
        <w:tc>
          <w:tcPr>
            <w:tcW w:type="dxa" w:w="2736"/>
          </w:tcPr>
          <w:p>
            <w:r/>
            <w:r>
              <w:rPr>
                <w:sz w:val="19"/>
              </w:rPr>
              <w:t>Sparse near-forest (sender/receiver overlap 0.0002)</w:t>
            </w:r>
          </w:p>
        </w:tc>
        <w:tc>
          <w:tcPr>
            <w:tcW w:type="dxa" w:w="2016"/>
          </w:tcPr>
          <w:p>
            <w:r/>
            <w:r>
              <w:rPr>
                <w:sz w:val="19"/>
              </w:rPr>
              <w:t>Scale test (ablation pending)</w:t>
            </w:r>
          </w:p>
        </w:tc>
      </w:tr>
      <w:tr>
        <w:tc>
          <w:tcPr>
            <w:tcW w:type="dxa" w:w="1584"/>
          </w:tcPr>
          <w:p>
            <w:r/>
            <w:r>
              <w:rPr>
                <w:sz w:val="19"/>
              </w:rPr>
              <w:t>SAP Würzburg</w:t>
            </w:r>
          </w:p>
        </w:tc>
        <w:tc>
          <w:tcPr>
            <w:tcW w:type="dxa" w:w="1440"/>
          </w:tcPr>
          <w:p>
            <w:r/>
            <w:r>
              <w:rPr>
                <w:sz w:val="19"/>
              </w:rPr>
              <w:t>200,629 lines</w:t>
            </w:r>
          </w:p>
        </w:tc>
        <w:tc>
          <w:tcPr>
            <w:tcW w:type="dxa" w:w="1440"/>
          </w:tcPr>
          <w:p>
            <w:r/>
            <w:r>
              <w:rPr>
                <w:sz w:val="19"/>
              </w:rPr>
              <w:t>59,883 (31 G/L accts)</w:t>
            </w:r>
          </w:p>
        </w:tc>
        <w:tc>
          <w:tcPr>
            <w:tcW w:type="dxa" w:w="1440"/>
          </w:tcPr>
          <w:p>
            <w:r/>
            <w:r>
              <w:rPr>
                <w:sz w:val="19"/>
              </w:rPr>
              <w:t>248 (0.12%)</w:t>
            </w:r>
          </w:p>
        </w:tc>
        <w:tc>
          <w:tcPr>
            <w:tcW w:type="dxa" w:w="2736"/>
          </w:tcPr>
          <w:p>
            <w:r/>
            <w:r>
              <w:rPr>
                <w:sz w:val="19"/>
              </w:rPr>
              <w:t>ERP document↔G/L-account bipartite, real SAP double-entry ledger</w:t>
            </w:r>
          </w:p>
        </w:tc>
        <w:tc>
          <w:tcPr>
            <w:tcW w:type="dxa" w:w="2016"/>
          </w:tcPr>
          <w:p>
            <w:r/>
            <w:r>
              <w:rPr>
                <w:sz w:val="19"/>
              </w:rPr>
              <w:t>Genuine ERP domain + explainability demo</w:t>
            </w:r>
          </w:p>
        </w:tc>
      </w:tr>
    </w:tbl>
    <w:p>
      <w:pPr>
        <w:spacing w:after="40"/>
      </w:pPr>
    </w:p>
    <w:p>
      <w:pPr>
        <w:spacing w:after="120"/>
      </w:pPr>
      <w:r>
        <w:rPr>
          <w:b w:val="0"/>
          <w:i w:val="0"/>
        </w:rPr>
        <w:t>Two datasets were dropped for cause: SAP IDES (a trial-watermarked export left only 7 usable frauds) and FIFAR (purely tabular — no counterparty relationships, so no graph can be built from it). A key ETL fix vs the prior version: senders and receivers now share one unified account namespace (verified: 99.3% of IBM AML sender IDs also appear as receivers), without which loops like A→B→A are invisible — the prior version's #1 structural bug.</w:t>
      </w:r>
    </w:p>
    <w:p>
      <w:pPr>
        <w:pStyle w:val="Heading2"/>
      </w:pPr>
      <w:r>
        <w:t>4.2  Ablation results (leakage-free)</w:t>
      </w:r>
    </w:p>
    <w:p>
      <w:pPr>
        <w:spacing w:after="120"/>
      </w:pPr>
      <w:r>
        <w:rPr>
          <w:b w:val="0"/>
          <w:i w:val="0"/>
        </w:rPr>
        <w:t>The decisive experiment trains the same model, on the same time-aware split, with the same single imbalance mechanism, twice: (A) ordinary features only, and (B) ordinary + topology. Because a marginal comparison is meaningless when the baseline is already near-perfect, we additionally report an amount-blind probe (all amount features removed) and a structure-only probe (pure graph shape, no amount-derived topology columns) — the cleanest test of “does graph structure itself help?”.</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296"/>
          </w:tcPr>
          <w:p>
            <w:r/>
            <w:r>
              <w:rPr>
                <w:b/>
                <w:sz w:val="19"/>
              </w:rPr>
              <w:t>Dataset</w:t>
            </w:r>
          </w:p>
        </w:tc>
        <w:tc>
          <w:tcPr>
            <w:tcW w:type="dxa" w:w="1368"/>
          </w:tcPr>
          <w:p>
            <w:r/>
            <w:r>
              <w:rPr>
                <w:b/>
                <w:sz w:val="19"/>
              </w:rPr>
              <w:t>Baseline PR-AUC</w:t>
            </w:r>
          </w:p>
        </w:tc>
        <w:tc>
          <w:tcPr>
            <w:tcW w:type="dxa" w:w="1224"/>
          </w:tcPr>
          <w:p>
            <w:r/>
            <w:r>
              <w:rPr>
                <w:b/>
                <w:sz w:val="19"/>
              </w:rPr>
              <w:t>+ Topology</w:t>
            </w:r>
          </w:p>
        </w:tc>
        <w:tc>
          <w:tcPr>
            <w:tcW w:type="dxa" w:w="1656"/>
          </w:tcPr>
          <w:p>
            <w:r/>
            <w:r>
              <w:rPr>
                <w:b/>
                <w:sz w:val="19"/>
              </w:rPr>
              <w:t>Structure-only marginal</w:t>
            </w:r>
          </w:p>
        </w:tc>
        <w:tc>
          <w:tcPr>
            <w:tcW w:type="dxa" w:w="1728"/>
          </w:tcPr>
          <w:p>
            <w:r/>
            <w:r>
              <w:rPr>
                <w:b/>
                <w:sz w:val="19"/>
              </w:rPr>
              <w:t>Structure lift (amount-blind)</w:t>
            </w:r>
          </w:p>
        </w:tc>
        <w:tc>
          <w:tcPr>
            <w:tcW w:type="dxa" w:w="3384"/>
          </w:tcPr>
          <w:p>
            <w:r/>
            <w:r>
              <w:rPr>
                <w:b/>
                <w:sz w:val="19"/>
              </w:rPr>
              <w:t>Reading</w:t>
            </w:r>
          </w:p>
        </w:tc>
      </w:tr>
      <w:tr>
        <w:tc>
          <w:tcPr>
            <w:tcW w:type="dxa" w:w="1296"/>
          </w:tcPr>
          <w:p>
            <w:r/>
            <w:r>
              <w:rPr>
                <w:sz w:val="19"/>
              </w:rPr>
              <w:t>BankSim</w:t>
            </w:r>
          </w:p>
        </w:tc>
        <w:tc>
          <w:tcPr>
            <w:tcW w:type="dxa" w:w="1368"/>
          </w:tcPr>
          <w:p>
            <w:r/>
            <w:r>
              <w:rPr>
                <w:sz w:val="19"/>
              </w:rPr>
              <w:t>0.833</w:t>
            </w:r>
          </w:p>
        </w:tc>
        <w:tc>
          <w:tcPr>
            <w:tcW w:type="dxa" w:w="1224"/>
          </w:tcPr>
          <w:p>
            <w:r/>
            <w:r>
              <w:rPr>
                <w:sz w:val="19"/>
              </w:rPr>
              <w:t>0.932</w:t>
            </w:r>
          </w:p>
        </w:tc>
        <w:tc>
          <w:tcPr>
            <w:tcW w:type="dxa" w:w="1656"/>
          </w:tcPr>
          <w:p>
            <w:r/>
            <w:r>
              <w:rPr>
                <w:sz w:val="19"/>
              </w:rPr>
              <w:t>+0.097 (+11.7%)</w:t>
            </w:r>
          </w:p>
        </w:tc>
        <w:tc>
          <w:tcPr>
            <w:tcW w:type="dxa" w:w="1728"/>
          </w:tcPr>
          <w:p>
            <w:r/>
            <w:r>
              <w:rPr>
                <w:sz w:val="19"/>
              </w:rPr>
              <w:t>+0.190</w:t>
            </w:r>
          </w:p>
        </w:tc>
        <w:tc>
          <w:tcPr>
            <w:tcW w:type="dxa" w:w="3384"/>
          </w:tcPr>
          <w:p>
            <w:r/>
            <w:r>
              <w:rPr>
                <w:sz w:val="19"/>
              </w:rPr>
              <w:t>Real structural win, carried by density (fan-in / destination in-degree)</w:t>
            </w:r>
          </w:p>
        </w:tc>
      </w:tr>
      <w:tr>
        <w:tc>
          <w:tcPr>
            <w:tcW w:type="dxa" w:w="1296"/>
          </w:tcPr>
          <w:p>
            <w:r/>
            <w:r>
              <w:rPr>
                <w:sz w:val="19"/>
              </w:rPr>
              <w:t>IBM AML</w:t>
            </w:r>
          </w:p>
        </w:tc>
        <w:tc>
          <w:tcPr>
            <w:tcW w:type="dxa" w:w="1368"/>
          </w:tcPr>
          <w:p>
            <w:r/>
            <w:r>
              <w:rPr>
                <w:sz w:val="19"/>
              </w:rPr>
              <w:t>0.990</w:t>
            </w:r>
          </w:p>
        </w:tc>
        <w:tc>
          <w:tcPr>
            <w:tcW w:type="dxa" w:w="1224"/>
          </w:tcPr>
          <w:p>
            <w:r/>
            <w:r>
              <w:rPr>
                <w:sz w:val="19"/>
              </w:rPr>
              <w:t>0.998</w:t>
            </w:r>
          </w:p>
        </w:tc>
        <w:tc>
          <w:tcPr>
            <w:tcW w:type="dxa" w:w="1656"/>
          </w:tcPr>
          <w:p>
            <w:r/>
            <w:r>
              <w:rPr>
                <w:sz w:val="19"/>
              </w:rPr>
              <w:t>+0.008</w:t>
            </w:r>
          </w:p>
        </w:tc>
        <w:tc>
          <w:tcPr>
            <w:tcW w:type="dxa" w:w="1728"/>
          </w:tcPr>
          <w:p>
            <w:r/>
            <w:r>
              <w:rPr>
                <w:sz w:val="19"/>
              </w:rPr>
              <w:t>+0.090</w:t>
            </w:r>
          </w:p>
        </w:tc>
        <w:tc>
          <w:tcPr>
            <w:tcW w:type="dxa" w:w="3384"/>
          </w:tcPr>
          <w:p>
            <w:r/>
            <w:r>
              <w:rPr>
                <w:sz w:val="19"/>
              </w:rPr>
              <w:t>Baseline saturated by an amount signal; structure adds a modest independent signal</w:t>
            </w:r>
          </w:p>
        </w:tc>
      </w:tr>
      <w:tr>
        <w:tc>
          <w:tcPr>
            <w:tcW w:type="dxa" w:w="1296"/>
          </w:tcPr>
          <w:p>
            <w:r/>
            <w:r>
              <w:rPr>
                <w:sz w:val="19"/>
              </w:rPr>
              <w:t>SAP Würzburg</w:t>
            </w:r>
          </w:p>
        </w:tc>
        <w:tc>
          <w:tcPr>
            <w:tcW w:type="dxa" w:w="1368"/>
          </w:tcPr>
          <w:p>
            <w:r/>
            <w:r>
              <w:rPr>
                <w:sz w:val="19"/>
              </w:rPr>
              <w:t>0.155</w:t>
            </w:r>
          </w:p>
        </w:tc>
        <w:tc>
          <w:tcPr>
            <w:tcW w:type="dxa" w:w="1224"/>
          </w:tcPr>
          <w:p>
            <w:r/>
            <w:r>
              <w:rPr>
                <w:sz w:val="19"/>
              </w:rPr>
              <w:t>0.073</w:t>
            </w:r>
          </w:p>
        </w:tc>
        <w:tc>
          <w:tcPr>
            <w:tcW w:type="dxa" w:w="1656"/>
          </w:tcPr>
          <w:p>
            <w:r/>
            <w:r>
              <w:rPr>
                <w:sz w:val="19"/>
              </w:rPr>
              <w:t>~0</w:t>
            </w:r>
          </w:p>
        </w:tc>
        <w:tc>
          <w:tcPr>
            <w:tcW w:type="dxa" w:w="1728"/>
          </w:tcPr>
          <w:p>
            <w:r/>
            <w:r>
              <w:rPr>
                <w:sz w:val="19"/>
              </w:rPr>
              <w:t>+0.015</w:t>
            </w:r>
          </w:p>
        </w:tc>
        <w:tc>
          <w:tcPr>
            <w:tcW w:type="dxa" w:w="3384"/>
          </w:tcPr>
          <w:p>
            <w:r/>
            <w:r>
              <w:rPr>
                <w:sz w:val="19"/>
              </w:rPr>
              <w:t>Inconclusive: only 25 test frauds and a ~31-node entity graph</w:t>
            </w:r>
          </w:p>
        </w:tc>
      </w:tr>
    </w:tbl>
    <w:p>
      <w:pPr>
        <w:spacing w:after="40"/>
      </w:pPr>
    </w:p>
    <w:p>
      <w:pPr>
        <w:spacing w:after="120"/>
      </w:pPr>
      <w:r>
        <w:rPr>
          <w:b w:val="0"/>
          <w:i w:val="0"/>
        </w:rPr>
        <w:t>Three findings deserve emphasis, because they are the honest core of the study:</w:t>
      </w:r>
    </w:p>
    <w:p>
      <w:pPr>
        <w:pStyle w:val="ListBullet"/>
      </w:pPr>
      <w:r>
        <w:rPr>
          <w:b/>
        </w:rPr>
        <w:t xml:space="preserve">The pipeline itself is honest. </w:t>
      </w:r>
      <w:r>
        <w:t>IBM AML's 0.99 baseline is not our leak — it is a property of the AMLSim generator, whose frauds carry giveaway amounts (log-amount alone reaches 0.91 univariate ROC) and arrive in same-day bursts. We verified every baseline feature is strictly past-only.</w:t>
      </w:r>
    </w:p>
    <w:p>
      <w:pPr>
        <w:pStyle w:val="ListBullet"/>
      </w:pPr>
      <w:r>
        <w:rPr>
          <w:b/>
        </w:rPr>
        <w:t xml:space="preserve">Simple density is the topology signal. </w:t>
      </w:r>
      <w:r>
        <w:t>Cycle-shape features — even after we made them genuinely discriminative (amount-conservation, tightness, ≥3-hop) — are redundant with plain fan-in/degree: adding them on top of density changes PR-AUC by +0.001. The dense laundering subgraph is already captured by node degree.</w:t>
      </w:r>
    </w:p>
    <w:p>
      <w:pPr>
        <w:pStyle w:val="ListBullet"/>
      </w:pPr>
      <w:r>
        <w:rPr>
          <w:b/>
        </w:rPr>
        <w:t xml:space="preserve">Lapping turned out to be an amount feature in disguise. </w:t>
      </w:r>
      <w:r>
        <w:t>The lapping detector looked spectacular in the amount-blind probe (0.31→0.87 PR-AUC) — but only because its features are computed from amounts, re-smuggling the removed signal. Its realistic full-model marginal is +0.002. Discovering this exposed and fixed a flaw in our own probe design, which is why the structure-only probe now exists.</w:t>
      </w:r>
    </w:p>
    <w:p>
      <w:pPr>
        <w:spacing w:after="200"/>
      </w:pPr>
      <w:r>
        <w:rPr>
          <w:b w:val="0"/>
          <w:i w:val="0"/>
        </w:rPr>
        <w:t>Bottom line: graph structure adds real, leakage-free predictive value — conditionally and modestly. It wins where the baseline has headroom and fraud has a structural signature that tabular features miss. Real-world ERP fraud hides its amounts (unlike these synthetic generators), so this likely understates topology's practical value — but we make no claim beyond what the data shows.</w:t>
      </w:r>
    </w:p>
    <w:p>
      <w:pPr>
        <w:pStyle w:val="Heading1"/>
      </w:pPr>
      <w:r>
        <w:t>5.  Current Models and Components — and Why</w:t>
      </w:r>
    </w:p>
    <w:tbl>
      <w:tblPr>
        <w:tblStyle w:val="LightGrid-Accent1"/>
        <w:tblW w:type="auto" w:w="0"/>
        <w:jc w:val="center"/>
        <w:tblLook w:firstColumn="1" w:firstRow="1" w:lastColumn="0" w:lastRow="0" w:noHBand="0" w:noVBand="1" w:val="04A0"/>
      </w:tblPr>
      <w:tblGrid>
        <w:gridCol w:w="2880"/>
        <w:gridCol w:w="2880"/>
        <w:gridCol w:w="2880"/>
      </w:tblGrid>
      <w:tr>
        <w:tc>
          <w:tcPr>
            <w:tcW w:type="dxa" w:w="1584"/>
          </w:tcPr>
          <w:p>
            <w:r/>
            <w:r>
              <w:rPr>
                <w:b/>
                <w:sz w:val="19"/>
              </w:rPr>
              <w:t>Component</w:t>
            </w:r>
          </w:p>
        </w:tc>
        <w:tc>
          <w:tcPr>
            <w:tcW w:type="dxa" w:w="4176"/>
          </w:tcPr>
          <w:p>
            <w:r/>
            <w:r>
              <w:rPr>
                <w:b/>
                <w:sz w:val="19"/>
              </w:rPr>
              <w:t>Current choice</w:t>
            </w:r>
          </w:p>
        </w:tc>
        <w:tc>
          <w:tcPr>
            <w:tcW w:type="dxa" w:w="3888"/>
          </w:tcPr>
          <w:p>
            <w:r/>
            <w:r>
              <w:rPr>
                <w:b/>
                <w:sz w:val="19"/>
              </w:rPr>
              <w:t>Why</w:t>
            </w:r>
          </w:p>
        </w:tc>
      </w:tr>
      <w:tr>
        <w:tc>
          <w:tcPr>
            <w:tcW w:type="dxa" w:w="1584"/>
          </w:tcPr>
          <w:p>
            <w:r/>
            <w:r>
              <w:rPr>
                <w:sz w:val="19"/>
              </w:rPr>
              <w:t>Risk model</w:t>
            </w:r>
          </w:p>
        </w:tc>
        <w:tc>
          <w:tcPr>
            <w:tcW w:type="dxa" w:w="4176"/>
          </w:tcPr>
          <w:p>
            <w:r/>
            <w:r>
              <w:rPr>
                <w:sz w:val="19"/>
              </w:rPr>
              <w:t>XGBoost (gradient-boosted trees), class-weighted (scale_pos_weight), early stopping on validation PR-AUC</w:t>
            </w:r>
          </w:p>
        </w:tc>
        <w:tc>
          <w:tcPr>
            <w:tcW w:type="dxa" w:w="3888"/>
          </w:tcPr>
          <w:p>
            <w:r/>
            <w:r>
              <w:rPr>
                <w:sz w:val="19"/>
              </w:rPr>
              <w:t>State of the art on tabular data; handles extreme imbalance; interpretable via SHAP — explainability is the project's selling point. Logistic regression kept as a simple baseline.</w:t>
            </w:r>
          </w:p>
        </w:tc>
      </w:tr>
      <w:tr>
        <w:tc>
          <w:tcPr>
            <w:tcW w:type="dxa" w:w="1584"/>
          </w:tcPr>
          <w:p>
            <w:r/>
            <w:r>
              <w:rPr>
                <w:sz w:val="19"/>
              </w:rPr>
              <w:t>Imbalance handling</w:t>
            </w:r>
          </w:p>
        </w:tc>
        <w:tc>
          <w:tcPr>
            <w:tcW w:type="dxa" w:w="4176"/>
          </w:tcPr>
          <w:p>
            <w:r/>
            <w:r>
              <w:rPr>
                <w:sz w:val="19"/>
              </w:rPr>
              <w:t>Class weights only</w:t>
            </w:r>
          </w:p>
        </w:tc>
        <w:tc>
          <w:tcPr>
            <w:tcW w:type="dxa" w:w="3888"/>
          </w:tcPr>
          <w:p>
            <w:r/>
            <w:r>
              <w:rPr>
                <w:sz w:val="19"/>
              </w:rPr>
              <w:t>Exactly one mechanism per experiment; SMOTE would interpolate physically meaningless topology vectors.</w:t>
            </w:r>
          </w:p>
        </w:tc>
      </w:tr>
      <w:tr>
        <w:tc>
          <w:tcPr>
            <w:tcW w:type="dxa" w:w="1584"/>
          </w:tcPr>
          <w:p>
            <w:r/>
            <w:r>
              <w:rPr>
                <w:sz w:val="19"/>
              </w:rPr>
              <w:t>Topology engine</w:t>
            </w:r>
          </w:p>
        </w:tc>
        <w:tc>
          <w:tcPr>
            <w:tcW w:type="dxa" w:w="4176"/>
          </w:tcPr>
          <w:p>
            <w:r/>
            <w:r>
              <w:rPr>
                <w:sz w:val="19"/>
              </w:rPr>
              <w:t>Custom streaming as-of extractor over an incremental trailing-window directed multigraph (13 features: cycle membership/length/≥3-hop/time-span/amount-ratio, fan-in/out, degrees, 4 lapping features)</w:t>
            </w:r>
          </w:p>
        </w:tc>
        <w:tc>
          <w:tcPr>
            <w:tcW w:type="dxa" w:w="3888"/>
          </w:tcPr>
          <w:p>
            <w:r/>
            <w:r>
              <w:rPr>
                <w:sz w:val="19"/>
              </w:rPr>
              <w:t>Leakage-free by construction (reads features before inserting each edge); O(1) density lookups and bounded BFS keep it scalable to 6.36M rows.</w:t>
            </w:r>
          </w:p>
        </w:tc>
      </w:tr>
      <w:tr>
        <w:tc>
          <w:tcPr>
            <w:tcW w:type="dxa" w:w="1584"/>
          </w:tcPr>
          <w:p>
            <w:r/>
            <w:r>
              <w:rPr>
                <w:sz w:val="19"/>
              </w:rPr>
              <w:t>Feature families</w:t>
            </w:r>
          </w:p>
        </w:tc>
        <w:tc>
          <w:tcPr>
            <w:tcW w:type="dxa" w:w="4176"/>
          </w:tcPr>
          <w:p>
            <w:r/>
            <w:r>
              <w:rPr>
                <w:sz w:val="19"/>
              </w:rPr>
              <w:t>Explicit STRUCTURE vs AMOUNT-DERIVED column split</w:t>
            </w:r>
          </w:p>
        </w:tc>
        <w:tc>
          <w:tcPr>
            <w:tcW w:type="dxa" w:w="3888"/>
          </w:tcPr>
          <w:p>
            <w:r/>
            <w:r>
              <w:rPr>
                <w:sz w:val="19"/>
              </w:rPr>
              <w:t>Enables the clean structure-only ablation — the honest test of the thesis.</w:t>
            </w:r>
          </w:p>
        </w:tc>
      </w:tr>
      <w:tr>
        <w:tc>
          <w:tcPr>
            <w:tcW w:type="dxa" w:w="1584"/>
          </w:tcPr>
          <w:p>
            <w:r/>
            <w:r>
              <w:rPr>
                <w:sz w:val="19"/>
              </w:rPr>
              <w:t>Leakage guard</w:t>
            </w:r>
          </w:p>
        </w:tc>
        <w:tc>
          <w:tcPr>
            <w:tcW w:type="dxa" w:w="4176"/>
          </w:tcPr>
          <w:p>
            <w:r/>
            <w:r>
              <w:rPr>
                <w:sz w:val="19"/>
              </w:rPr>
              <w:t>Automated invariance test (truncation + future-corruption)</w:t>
            </w:r>
          </w:p>
        </w:tc>
        <w:tc>
          <w:tcPr>
            <w:tcW w:type="dxa" w:w="3888"/>
          </w:tcPr>
          <w:p>
            <w:r/>
            <w:r>
              <w:rPr>
                <w:sz w:val="19"/>
              </w:rPr>
              <w:t>Scrambling future transactions must not change past features; the build fails otherwise. Passes on all datasets.</w:t>
            </w:r>
          </w:p>
        </w:tc>
      </w:tr>
      <w:tr>
        <w:tc>
          <w:tcPr>
            <w:tcW w:type="dxa" w:w="1584"/>
          </w:tcPr>
          <w:p>
            <w:r/>
            <w:r>
              <w:rPr>
                <w:sz w:val="19"/>
              </w:rPr>
              <w:t>Evaluation</w:t>
            </w:r>
          </w:p>
        </w:tc>
        <w:tc>
          <w:tcPr>
            <w:tcW w:type="dxa" w:w="4176"/>
          </w:tcPr>
          <w:p>
            <w:r/>
            <w:r>
              <w:rPr>
                <w:sz w:val="19"/>
              </w:rPr>
              <w:t>Chronological (and per-run partitioned for SAP) splits; PR-AUC primary; precision@k / recall@k; validation-tuned frozen threshold</w:t>
            </w:r>
          </w:p>
        </w:tc>
        <w:tc>
          <w:tcPr>
            <w:tcW w:type="dxa" w:w="3888"/>
          </w:tcPr>
          <w:p>
            <w:r/>
            <w:r>
              <w:rPr>
                <w:sz w:val="19"/>
              </w:rPr>
              <w:t>Mirrors real deployment: predict the future from the past; metrics an auditor actually experiences.</w:t>
            </w:r>
          </w:p>
        </w:tc>
      </w:tr>
      <w:tr>
        <w:tc>
          <w:tcPr>
            <w:tcW w:type="dxa" w:w="1584"/>
          </w:tcPr>
          <w:p>
            <w:r/>
            <w:r>
              <w:rPr>
                <w:sz w:val="19"/>
              </w:rPr>
              <w:t>Explanation layer</w:t>
            </w:r>
          </w:p>
        </w:tc>
        <w:tc>
          <w:tcPr>
            <w:tcW w:type="dxa" w:w="4176"/>
          </w:tcPr>
          <w:p>
            <w:r/>
            <w:r>
              <w:rPr>
                <w:sz w:val="19"/>
              </w:rPr>
              <w:t>SHAP + Neo4j path visualisation (in progress)</w:t>
            </w:r>
          </w:p>
        </w:tc>
        <w:tc>
          <w:tcPr>
            <w:tcW w:type="dxa" w:w="3888"/>
          </w:tcPr>
          <w:p>
            <w:r/>
            <w:r>
              <w:rPr>
                <w:sz w:val="19"/>
              </w:rPr>
              <w:t>A score of 0.97 is useless to an auditor; “closes a 3-hop loop returning 95% of the amount in 2 days” is actionable evidence.</w:t>
            </w:r>
          </w:p>
        </w:tc>
      </w:tr>
    </w:tbl>
    <w:p>
      <w:pPr>
        <w:spacing w:after="40"/>
      </w:pPr>
    </w:p>
    <w:p>
      <w:pPr>
        <w:spacing w:after="120"/>
      </w:pPr>
      <w:r>
        <w:rPr>
          <w:b w:val="0"/>
          <w:i w:val="0"/>
        </w:rPr>
        <w:t>A deliberate exclusion: Graph Neural Networks are treated as an optional future comparison only. They are black boxes, which works directly against the explainability goal, and the gradient-boosted-tree + explicit-feature design lets us say exactly why each alert fired.</w:t>
      </w:r>
    </w:p>
    <w:p>
      <w:pPr>
        <w:pStyle w:val="Heading1"/>
      </w:pPr>
      <w:r>
        <w:t>6.  Where the Components Can Be Upgraded</w:t>
      </w:r>
    </w:p>
    <w:p>
      <w:pPr>
        <w:pStyle w:val="Heading2"/>
      </w:pPr>
      <w:r>
        <w:t>6.1  More datasets — the most important upgrade</w:t>
      </w:r>
    </w:p>
    <w:p>
      <w:pPr>
        <w:spacing w:after="120"/>
      </w:pPr>
      <w:r>
        <w:rPr>
          <w:b w:val="0"/>
          <w:i w:val="0"/>
        </w:rPr>
        <w:t>The current evidence rests on three fully-ablated datasets (IBM AML, BankSim, SAP Würzburg), with PaySim built but not yet ablated. Three datasets are not enough to generalise from: with so few points on the “structure-richness spectrum,” any trend is suggestive rather than conclusive, and two of the three are synthetic generators whose artifacts (giveaway amounts in AMLSim) we have already had to work around. Planned expansion:</w:t>
      </w:r>
    </w:p>
    <w:p>
      <w:pPr>
        <w:pStyle w:val="ListBullet"/>
      </w:pPr>
      <w:r>
        <w:rPr>
          <w:b/>
        </w:rPr>
        <w:t xml:space="preserve">Complete the current roster: </w:t>
      </w:r>
      <w:r>
        <w:t>run the PaySim ablation (6.36M rows) to make the spectrum four-for-four.</w:t>
      </w:r>
    </w:p>
    <w:p>
      <w:pPr>
        <w:pStyle w:val="ListBullet"/>
      </w:pPr>
      <w:r>
        <w:rPr>
          <w:b/>
        </w:rPr>
        <w:t xml:space="preserve">Add structure-rich AML data: </w:t>
      </w:r>
      <w:r>
        <w:t>the newer IBM AMLworld / multi-configuration AMLSim releases (HI/LI variants) give several graph-rich datasets with different fraud mixes, and the Elliptic / Elliptic++ Bitcoin transaction graphs provide a real (non-synthetic) labelled money-flow network.</w:t>
      </w:r>
    </w:p>
    <w:p>
      <w:pPr>
        <w:pStyle w:val="ListBullet"/>
      </w:pPr>
      <w:r>
        <w:rPr>
          <w:b/>
        </w:rPr>
        <w:t xml:space="preserve">Add real banking relational data: </w:t>
      </w:r>
      <w:r>
        <w:t>the Berka (Czech bank, PKDD'99) dataset and the SAML-D synthetic AML dataset broaden the domain beyond two generator families.</w:t>
      </w:r>
    </w:p>
    <w:p>
      <w:pPr>
        <w:pStyle w:val="ListBullet"/>
      </w:pPr>
      <w:r>
        <w:rPr>
          <w:b/>
        </w:rPr>
        <w:t xml:space="preserve">Ultimately, real ERP journals: </w:t>
      </w:r>
      <w:r>
        <w:t>anonymised real ERP postings (even unlabelled, for calibration of benign-structure base rates) are the gap none of the public datasets fill — synthetic generators likely understate topology's value because real fraud hides amounts. A synthetic ERP generator of our own is deliberately deferred until last, and if built will inject fraud by behaviour, not by detector pattern, to avoid the circularity trap of generating exactly what we detect.</w:t>
      </w:r>
    </w:p>
    <w:p>
      <w:pPr>
        <w:pStyle w:val="Heading2"/>
      </w:pPr>
      <w:r>
        <w:t>6.2  Component-level upgrades</w:t>
      </w:r>
    </w:p>
    <w:p>
      <w:pPr>
        <w:pStyle w:val="ListBullet"/>
      </w:pPr>
      <w:r>
        <w:rPr>
          <w:b/>
        </w:rPr>
        <w:t xml:space="preserve">Topology engine: </w:t>
      </w:r>
      <w:r>
        <w:t>multi-scale trailing windows (short + long, each as its own feature column) so fast layering and slow loops are both catchable; remaining detectors (rapid-chain, real as-of centrality such as windowed PageRank / betweenness) — though current evidence suggests these will correlate with density, so they carry a low expected payoff and must be justified by ablation, not assumed.</w:t>
      </w:r>
    </w:p>
    <w:p>
      <w:pPr>
        <w:pStyle w:val="ListBullet"/>
      </w:pPr>
      <w:r>
        <w:rPr>
          <w:b/>
        </w:rPr>
        <w:t xml:space="preserve">Model: </w:t>
      </w:r>
      <w:r>
        <w:t>LightGBM comparison; probability calibration; and a temporal-GNN comparison as a benchmark only, kept out of the explainable core.</w:t>
      </w:r>
    </w:p>
    <w:p>
      <w:pPr>
        <w:pStyle w:val="ListBullet"/>
      </w:pPr>
      <w:r>
        <w:rPr>
          <w:b/>
        </w:rPr>
        <w:t xml:space="preserve">Evaluation: </w:t>
      </w:r>
      <w:r>
        <w:t>multiple seeds and rolling-origin (multi-fold time-aware) evaluation to put confidence intervals on the ablation deltas — currently single split, single seed; cost-sensitive metrics (expected auditor workload saved).</w:t>
      </w:r>
    </w:p>
    <w:p>
      <w:pPr>
        <w:pStyle w:val="ListBullet"/>
      </w:pPr>
      <w:r>
        <w:rPr>
          <w:b/>
        </w:rPr>
        <w:t xml:space="preserve">Explainability: </w:t>
      </w:r>
      <w:r>
        <w:t>the SHAP + Neo4j audit-alert demo (Build Step 5, next); a replay mode that streams a recorded dataset through the engine live.</w:t>
      </w:r>
    </w:p>
    <w:p>
      <w:pPr>
        <w:pStyle w:val="ListBullet"/>
      </w:pPr>
      <w:r>
        <w:rPr>
          <w:b/>
        </w:rPr>
        <w:t xml:space="preserve">Known limitation to address: </w:t>
      </w:r>
      <w:r>
        <w:t>a slow, multi-hop, cyclic launder whose hops are months apart can escape the trailing graph window; on current datasets the labelled frauds are fast (93% of IBM cycle frauds close within 7 days), so this is a documented scope boundary rather than a flaw — long-window or hierarchical summaries are the future fix.</w:t>
      </w:r>
    </w:p>
    <w:p>
      <w:pPr>
        <w:pStyle w:val="Heading1"/>
      </w:pPr>
      <w:r>
        <w:t>7.  Work Completed and Work Remaining</w:t>
      </w:r>
    </w:p>
    <w:tbl>
      <w:tblPr>
        <w:tblStyle w:val="LightGrid-Accent1"/>
        <w:tblW w:type="auto" w:w="0"/>
        <w:jc w:val="center"/>
        <w:tblLook w:firstColumn="1" w:firstRow="1" w:lastColumn="0" w:lastRow="0" w:noHBand="0" w:noVBand="1" w:val="04A0"/>
      </w:tblPr>
      <w:tblGrid>
        <w:gridCol w:w="2880"/>
        <w:gridCol w:w="2880"/>
        <w:gridCol w:w="2880"/>
      </w:tblGrid>
      <w:tr>
        <w:tc>
          <w:tcPr>
            <w:tcW w:type="dxa" w:w="1008"/>
          </w:tcPr>
          <w:p>
            <w:r/>
            <w:r>
              <w:rPr>
                <w:b/>
                <w:sz w:val="19"/>
              </w:rPr>
              <w:t>Build step</w:t>
            </w:r>
          </w:p>
        </w:tc>
        <w:tc>
          <w:tcPr>
            <w:tcW w:type="dxa" w:w="6624"/>
          </w:tcPr>
          <w:p>
            <w:r/>
            <w:r>
              <w:rPr>
                <w:b/>
                <w:sz w:val="19"/>
              </w:rPr>
              <w:t>What</w:t>
            </w:r>
          </w:p>
        </w:tc>
        <w:tc>
          <w:tcPr>
            <w:tcW w:type="dxa" w:w="2016"/>
          </w:tcPr>
          <w:p>
            <w:r/>
            <w:r>
              <w:rPr>
                <w:b/>
                <w:sz w:val="19"/>
              </w:rPr>
              <w:t>Status</w:t>
            </w:r>
          </w:p>
        </w:tc>
      </w:tr>
      <w:tr>
        <w:tc>
          <w:tcPr>
            <w:tcW w:type="dxa" w:w="1008"/>
          </w:tcPr>
          <w:p>
            <w:r/>
            <w:r>
              <w:rPr>
                <w:sz w:val="19"/>
              </w:rPr>
              <w:t>0</w:t>
            </w:r>
          </w:p>
        </w:tc>
        <w:tc>
          <w:tcPr>
            <w:tcW w:type="dxa" w:w="6624"/>
          </w:tcPr>
          <w:p>
            <w:r/>
            <w:r>
              <w:rPr>
                <w:sz w:val="19"/>
              </w:rPr>
              <w:t>Audit of the prior version and honest re-baseline</w:t>
            </w:r>
          </w:p>
        </w:tc>
        <w:tc>
          <w:tcPr>
            <w:tcW w:type="dxa" w:w="2016"/>
          </w:tcPr>
          <w:p>
            <w:r/>
            <w:r>
              <w:rPr>
                <w:sz w:val="19"/>
              </w:rPr>
              <w:t>✓ Done</w:t>
            </w:r>
          </w:p>
        </w:tc>
      </w:tr>
      <w:tr>
        <w:tc>
          <w:tcPr>
            <w:tcW w:type="dxa" w:w="1008"/>
          </w:tcPr>
          <w:p>
            <w:r/>
            <w:r>
              <w:rPr>
                <w:sz w:val="19"/>
              </w:rPr>
              <w:t>—</w:t>
            </w:r>
          </w:p>
        </w:tc>
        <w:tc>
          <w:tcPr>
            <w:tcW w:type="dxa" w:w="6624"/>
          </w:tcPr>
          <w:p>
            <w:r/>
            <w:r>
              <w:rPr>
                <w:sz w:val="19"/>
              </w:rPr>
              <w:t>Architecture locked (pipeline, rules, datasets, tiers)</w:t>
            </w:r>
          </w:p>
        </w:tc>
        <w:tc>
          <w:tcPr>
            <w:tcW w:type="dxa" w:w="2016"/>
          </w:tcPr>
          <w:p>
            <w:r/>
            <w:r>
              <w:rPr>
                <w:sz w:val="19"/>
              </w:rPr>
              <w:t>✓ Done</w:t>
            </w:r>
          </w:p>
        </w:tc>
      </w:tr>
      <w:tr>
        <w:tc>
          <w:tcPr>
            <w:tcW w:type="dxa" w:w="1008"/>
          </w:tcPr>
          <w:p>
            <w:r/>
            <w:r>
              <w:rPr>
                <w:sz w:val="19"/>
              </w:rPr>
              <w:t>1</w:t>
            </w:r>
          </w:p>
        </w:tc>
        <w:tc>
          <w:tcPr>
            <w:tcW w:type="dxa" w:w="6624"/>
          </w:tcPr>
          <w:p>
            <w:r/>
            <w:r>
              <w:rPr>
                <w:sz w:val="19"/>
              </w:rPr>
              <w:t>ETL / Shadow Graph for all 4 datasets (canonical form, unified namespace, audits)</w:t>
            </w:r>
          </w:p>
        </w:tc>
        <w:tc>
          <w:tcPr>
            <w:tcW w:type="dxa" w:w="2016"/>
          </w:tcPr>
          <w:p>
            <w:r/>
            <w:r>
              <w:rPr>
                <w:sz w:val="19"/>
              </w:rPr>
              <w:t>✓ Done &amp; verified</w:t>
            </w:r>
          </w:p>
        </w:tc>
      </w:tr>
      <w:tr>
        <w:tc>
          <w:tcPr>
            <w:tcW w:type="dxa" w:w="1008"/>
          </w:tcPr>
          <w:p>
            <w:r/>
            <w:r>
              <w:rPr>
                <w:sz w:val="19"/>
              </w:rPr>
              <w:t>2</w:t>
            </w:r>
          </w:p>
        </w:tc>
        <w:tc>
          <w:tcPr>
            <w:tcW w:type="dxa" w:w="6624"/>
          </w:tcPr>
          <w:p>
            <w:r/>
            <w:r>
              <w:rPr>
                <w:sz w:val="19"/>
              </w:rPr>
              <w:t>Temporal Topology Engine: cycle (+ discriminative variants), fan-in/out &amp; degrees, lapping, automated leakage test; 13 features on all 4 datasets</w:t>
            </w:r>
          </w:p>
        </w:tc>
        <w:tc>
          <w:tcPr>
            <w:tcW w:type="dxa" w:w="2016"/>
          </w:tcPr>
          <w:p>
            <w:r/>
            <w:r>
              <w:rPr>
                <w:sz w:val="19"/>
              </w:rPr>
              <w:t>✓ Core done</w:t>
            </w:r>
          </w:p>
        </w:tc>
      </w:tr>
      <w:tr>
        <w:tc>
          <w:tcPr>
            <w:tcW w:type="dxa" w:w="1008"/>
          </w:tcPr>
          <w:p>
            <w:r/>
            <w:r>
              <w:rPr>
                <w:sz w:val="19"/>
              </w:rPr>
              <w:t>3</w:t>
            </w:r>
          </w:p>
        </w:tc>
        <w:tc>
          <w:tcPr>
            <w:tcW w:type="dxa" w:w="6624"/>
          </w:tcPr>
          <w:p>
            <w:r/>
            <w:r>
              <w:rPr>
                <w:sz w:val="19"/>
              </w:rPr>
              <w:t>Modeling harness: time-aware splits, class-weighted XGBoost, threshold tuning, PR-AUC/precision@k, artifact persistence</w:t>
            </w:r>
          </w:p>
        </w:tc>
        <w:tc>
          <w:tcPr>
            <w:tcW w:type="dxa" w:w="2016"/>
          </w:tcPr>
          <w:p>
            <w:r/>
            <w:r>
              <w:rPr>
                <w:sz w:val="19"/>
              </w:rPr>
              <w:t>✓ Built</w:t>
            </w:r>
          </w:p>
        </w:tc>
      </w:tr>
      <w:tr>
        <w:tc>
          <w:tcPr>
            <w:tcW w:type="dxa" w:w="1008"/>
          </w:tcPr>
          <w:p>
            <w:r/>
            <w:r>
              <w:rPr>
                <w:sz w:val="19"/>
              </w:rPr>
              <w:t>4</w:t>
            </w:r>
          </w:p>
        </w:tc>
        <w:tc>
          <w:tcPr>
            <w:tcW w:type="dxa" w:w="6624"/>
          </w:tcPr>
          <w:p>
            <w:r/>
            <w:r>
              <w:rPr>
                <w:sz w:val="19"/>
              </w:rPr>
              <w:t>The ablation (baseline vs +topology, incl. amount-blind and structure-only probes) on IBM AML, BankSim, SAP Würzburg</w:t>
            </w:r>
          </w:p>
        </w:tc>
        <w:tc>
          <w:tcPr>
            <w:tcW w:type="dxa" w:w="2016"/>
          </w:tcPr>
          <w:p>
            <w:r/>
            <w:r>
              <w:rPr>
                <w:sz w:val="19"/>
              </w:rPr>
              <w:t>✓ Done — verdict in §4.2</w:t>
            </w:r>
          </w:p>
        </w:tc>
      </w:tr>
      <w:tr>
        <w:tc>
          <w:tcPr>
            <w:tcW w:type="dxa" w:w="1008"/>
          </w:tcPr>
          <w:p>
            <w:r/>
            <w:r>
              <w:rPr>
                <w:sz w:val="19"/>
              </w:rPr>
              <w:t>5</w:t>
            </w:r>
          </w:p>
        </w:tc>
        <w:tc>
          <w:tcPr>
            <w:tcW w:type="dxa" w:w="6624"/>
          </w:tcPr>
          <w:p>
            <w:r/>
            <w:r>
              <w:rPr>
                <w:sz w:val="19"/>
              </w:rPr>
              <w:t>Explainability: SHAP attributions + Neo4j shadow-graph demo with detected-path audit alerts</w:t>
            </w:r>
          </w:p>
        </w:tc>
        <w:tc>
          <w:tcPr>
            <w:tcW w:type="dxa" w:w="2016"/>
          </w:tcPr>
          <w:p>
            <w:r/>
            <w:r>
              <w:rPr>
                <w:sz w:val="19"/>
              </w:rPr>
              <w:t>◀ Next (in progress)</w:t>
            </w:r>
          </w:p>
        </w:tc>
      </w:tr>
      <w:tr>
        <w:tc>
          <w:tcPr>
            <w:tcW w:type="dxa" w:w="1008"/>
          </w:tcPr>
          <w:p>
            <w:r/>
            <w:r>
              <w:rPr>
                <w:sz w:val="19"/>
              </w:rPr>
              <w:t>6</w:t>
            </w:r>
          </w:p>
        </w:tc>
        <w:tc>
          <w:tcPr>
            <w:tcW w:type="dxa" w:w="6624"/>
          </w:tcPr>
          <w:p>
            <w:r/>
            <w:r>
              <w:rPr>
                <w:sz w:val="19"/>
              </w:rPr>
              <w:t>Optional extensions: PaySim ablation, additional datasets, GNN comparison, synthetic ERP generator</w:t>
            </w:r>
          </w:p>
        </w:tc>
        <w:tc>
          <w:tcPr>
            <w:tcW w:type="dxa" w:w="2016"/>
          </w:tcPr>
          <w:p>
            <w:r/>
            <w:r>
              <w:rPr>
                <w:sz w:val="19"/>
              </w:rPr>
              <w:t>Planned</w:t>
            </w:r>
          </w:p>
        </w:tc>
      </w:tr>
    </w:tbl>
    <w:p>
      <w:pPr>
        <w:spacing w:after="40"/>
      </w:pPr>
    </w:p>
    <w:p>
      <w:pPr>
        <w:spacing w:after="120"/>
      </w:pPr>
      <w:r>
        <w:rPr>
          <w:b w:val="0"/>
          <w:i w:val="0"/>
        </w:rPr>
        <w:t>In summary: the data layer, the leakage-free topology engine, the modeling harness, and the decisive ablation are complete, and the central scientific question has a defensible first answer. The remaining work turns that result into the deliverable the project promised — the explainable, real-time-style audit demo — and then widens the evidence base with more datasets so the conclusion generalises beyond the current three testbeds.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