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3"/>
        </w:rPr>
        <w:t>Leakage-Free Temporal Graph Topology for Streaming ERP Fraud Detection: A Hybrid TGN-XGBoost Model with a Production Continuous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functional Hybrid TGN-XGBoost model: an end-to-end architecture coupling continuous-time Temporal Graph Networks (TGN) with gradient-boosted decision trees (XGBoost) over a streaming temporal-topology feature engine that enforces a formal read-then-insert invariant so that a transaction's features can never depend on information from its own future. We subject the proposed TGN-XGBoost model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Temporal Graph Networks, TGN-XGBoost, federated learning.</w:t>
      </w:r>
    </w:p>
    <w:p>
      <w:pPr>
        <w:keepNext/>
        <w:spacing w:before="240" w:after="60"/>
      </w:pPr>
      <w:r>
        <w:rPr>
          <w:rFonts w:ascii="Calibri" w:hAnsi="Calibri"/>
          <w:b/>
          <w:color w:val="1B365D"/>
          <w:sz w:val="25"/>
        </w:rPr>
        <w:t>1. Introduction and Related Work</w:t>
      </w:r>
    </w:p>
    <w:p>
      <w:pPr>
        <w:spacing w:after="80" w:line="276" w:lineRule="auto"/>
        <w:jc w:val="both"/>
      </w:pPr>
      <w:r>
        <w:rPr>
          <w:rFonts w:ascii="Calibri" w:hAnsi="Calibri"/>
          <w:i w:val="0"/>
          <w:color w:val="2D3748"/>
          <w:sz w:val="20"/>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[2].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 [1, 2].</w:t>
      </w:r>
    </w:p>
    <w:p>
      <w:pPr>
        <w:spacing w:after="80" w:line="276" w:lineRule="auto"/>
        <w:jc w:val="both"/>
      </w:pPr>
      <w:r>
        <w:rPr>
          <w:rFonts w:ascii="Calibri" w:hAnsi="Calibri"/>
          <w:i w:val="0"/>
          <w:color w:val="2D3748"/>
          <w:sz w:val="20"/>
        </w:rPr>
        <w:t>Graph Neural Networks (GNNs) and temporal graph representation learning have emerged as the primary research paradigm for relational financial fraud detection [3, 4]. However, our systematic analysis of published literature reveals three pervasive methodological crises:</w:t>
      </w:r>
    </w:p>
    <w:p>
      <w:pPr>
        <w:pStyle w:val="ListBullet"/>
        <w:spacing w:after="60" w:line="276" w:lineRule="auto"/>
        <w:jc w:val="both"/>
      </w:pPr>
      <w:r>
        <w:rPr>
          <w:rFonts w:ascii="Calibri" w:hAnsi="Calibri"/>
          <w:b/>
          <w:color w:val="2D3748"/>
          <w:sz w:val="20"/>
        </w:rPr>
        <w:t xml:space="preserve">1. Pervasive Temporal Leakage: </w:t>
      </w:r>
      <w:r>
        <w:rPr>
          <w:rFonts w:ascii="Calibri" w:hAnsi="Calibri"/>
          <w:color w:val="2D3748"/>
          <w:sz w:val="20"/>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 [5].</w:t>
      </w:r>
    </w:p>
    <w:p>
      <w:pPr>
        <w:pStyle w:val="ListBullet"/>
        <w:spacing w:after="60" w:line="276" w:lineRule="auto"/>
        <w:jc w:val="both"/>
      </w:pPr>
      <w:r>
        <w:rPr>
          <w:rFonts w:ascii="Calibri" w:hAnsi="Calibri"/>
          <w:b/>
          <w:color w:val="2D3748"/>
          <w:sz w:val="20"/>
        </w:rPr>
        <w:t xml:space="preserve">2. Absent Ablation Discipline: </w:t>
      </w:r>
      <w:r>
        <w:rPr>
          <w:rFonts w:ascii="Calibri" w:hAnsi="Calibri"/>
          <w:color w:val="2D3748"/>
          <w:sz w:val="20"/>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 [17, 19].</w:t>
      </w:r>
    </w:p>
    <w:p>
      <w:pPr>
        <w:pStyle w:val="ListBullet"/>
        <w:spacing w:after="60" w:line="276" w:lineRule="auto"/>
        <w:jc w:val="both"/>
      </w:pPr>
      <w:r>
        <w:rPr>
          <w:rFonts w:ascii="Calibri" w:hAnsi="Calibri"/>
          <w:b/>
          <w:color w:val="2D3748"/>
          <w:sz w:val="20"/>
        </w:rPr>
        <w:t xml:space="preserve">3. Uninterpretable Black-Box Deployments: </w:t>
      </w:r>
      <w:r>
        <w:rPr>
          <w:rFonts w:ascii="Calibri" w:hAnsi="Calibri"/>
          <w:color w:val="2D3748"/>
          <w:sz w:val="20"/>
        </w:rPr>
        <w:t>Deep graph architectures (e.g., GCN [6], GAT [7], EvolveGCN [8]) lack exact, polynomial-time attribution methods. Under strict statutory regulations (Sarbanes-Oxley Act, Basel III, GDPR Article 22), forensic auditors cannot legally act upon black-box risk scores without verifiable, reconstructable evidence trails [9, 10, 18].</w:t>
      </w:r>
    </w:p>
    <w:p>
      <w:pPr>
        <w:spacing w:after="80" w:line="276" w:lineRule="auto"/>
        <w:jc w:val="both"/>
      </w:pPr>
      <w:r>
        <w:rPr>
          <w:rFonts w:ascii="Calibri" w:hAnsi="Calibri"/>
          <w:i w:val="0"/>
          <w:color w:val="2D3748"/>
          <w:sz w:val="20"/>
        </w:rPr>
        <w:t>To resolve these challenges, this paper presents the Hybrid TGN-XGBoost model: an end-to-end architecture coupling continuous-time Temporal Graph Networks (TGN) with gradient-boosted decision trees (XGBoost) over a streaming temporal-topology feature engine that enforces a formal read-then-insert invariant.</w:t>
      </w:r>
    </w:p>
    <w:p>
      <w:pPr>
        <w:keepNext/>
        <w:spacing w:before="240" w:after="60"/>
      </w:pPr>
      <w:r>
        <w:rPr>
          <w:rFonts w:ascii="Calibri" w:hAnsi="Calibri"/>
          <w:b/>
          <w:color w:val="1B365D"/>
          <w:sz w:val="25"/>
        </w:rPr>
        <w:t>2. System and Research Foundations</w:t>
      </w:r>
    </w:p>
    <w:p>
      <w:pPr>
        <w:spacing w:after="80" w:line="276" w:lineRule="auto"/>
        <w:jc w:val="both"/>
      </w:pPr>
      <w:r>
        <w:rPr>
          <w:rFonts w:ascii="Calibri" w:hAnsi="Calibri"/>
          <w:i w:val="0"/>
          <w:color w:val="2D3748"/>
          <w:sz w:val="20"/>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5"/>
        </w:rPr>
        <w:t>3. Proposed Model (Hybrid TGN-XGBoost)</w:t>
      </w:r>
    </w:p>
    <w:p>
      <w:pPr>
        <w:keepNext/>
        <w:spacing w:before="120" w:after="40"/>
        <w:jc w:val="center"/>
      </w:pPr>
      <w:r>
        <w:drawing>
          <wp:inline xmlns:a="http://schemas.openxmlformats.org/drawingml/2006/main" xmlns:pic="http://schemas.openxmlformats.org/drawingml/2006/picture">
            <wp:extent cx="5852160" cy="1839250"/>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5852160" cy="1839250"/>
                    </a:xfrm>
                    <a:prstGeom prst="rect"/>
                  </pic:spPr>
                </pic:pic>
              </a:graphicData>
            </a:graphic>
          </wp:inline>
        </w:drawing>
      </w:r>
    </w:p>
    <w:p>
      <w:pPr>
        <w:spacing w:before="40" w:after="160"/>
        <w:jc w:val="both"/>
      </w:pPr>
      <w:r>
        <w:rPr>
          <w:rFonts w:ascii="Calibri" w:hAnsi="Calibri"/>
          <w:i/>
          <w:color w:val="2D3748"/>
          <w:sz w:val="17"/>
        </w:rPr>
        <w:t>Fig. 1: End-to-end architectural pipeline of the proposed Hybrid TGN-XGBoost model: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2"/>
        </w:rPr>
        <w:t>i. Architecture</w:t>
      </w:r>
    </w:p>
    <w:p>
      <w:pPr>
        <w:spacing w:after="80" w:line="276" w:lineRule="auto"/>
        <w:jc w:val="both"/>
      </w:pPr>
      <w:r>
        <w:rPr>
          <w:rFonts w:ascii="Calibri" w:hAnsi="Calibri"/>
          <w:i w:val="0"/>
          <w:color w:val="2D3748"/>
          <w:sz w:val="20"/>
        </w:rPr>
        <w:t>The proposed Hybrid TGN-XGBoost model couples dynamic transactional multigraphs, continuous temporal graph representations, and gradient-boosted decision trees (Fig. 1). We model the incoming transactional ledger as a directed temporal streaming multigraph:</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𝔊 = (𝒜, 𝒳, 𝕋)</w:t>
            </w:r>
            <w:r>
              <w:rPr>
                <w:rFonts w:ascii="Calibri" w:hAnsi="Calibri"/>
                <w:i/>
                <w:color w:val="718096"/>
                <w:sz w:val="19"/>
              </w:rPr>
              <w:t xml:space="preserve">    (1)</w:t>
            </w:r>
          </w:p>
        </w:tc>
      </w:tr>
    </w:tbl>
    <w:p>
      <w:pPr>
        <w:spacing w:after="40"/>
      </w:pPr>
    </w:p>
    <w:p>
      <w:pPr>
        <w:spacing w:after="80" w:line="276" w:lineRule="auto"/>
        <w:jc w:val="both"/>
      </w:pPr>
      <w:r>
        <w:rPr>
          <w:rFonts w:ascii="Calibri" w:hAnsi="Calibri"/>
          <w:i w:val="0"/>
          <w:color w:val="2D3748"/>
          <w:sz w:val="20"/>
        </w:rPr>
        <w:t>where 𝒜 = {α_1, α_2, ..., α_|𝒜|} denotes the universe of financial ledger accounts, counterparties, or general-ledger entities, and 𝕋 = {τ_1, τ_2, ...} ⊂ ℕ represents strictly ordered epoch posting timestamps (τ_k ≤ τ_{k+1}).</w:t>
      </w:r>
    </w:p>
    <w:p>
      <w:pPr>
        <w:spacing w:after="80" w:line="276" w:lineRule="auto"/>
        <w:jc w:val="both"/>
      </w:pPr>
      <w:r>
        <w:rPr>
          <w:rFonts w:ascii="Calibri" w:hAnsi="Calibri"/>
          <w:i w:val="0"/>
          <w:color w:val="2D3748"/>
          <w:sz w:val="20"/>
        </w:rPr>
        <w:t>Each transactional edge is represented as an ordered quintuple:</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ξ_k = (𝔰_k, 𝔡_k, τ_k, ν_k, c_k) ∈ 𝒳</w:t>
            </w:r>
            <w:r>
              <w:rPr>
                <w:rFonts w:ascii="Calibri" w:hAnsi="Calibri"/>
                <w:i/>
                <w:color w:val="718096"/>
                <w:sz w:val="19"/>
              </w:rPr>
              <w:t xml:space="preserve">    (2)</w:t>
            </w:r>
          </w:p>
        </w:tc>
      </w:tr>
    </w:tbl>
    <w:p>
      <w:pPr>
        <w:spacing w:after="40"/>
      </w:pPr>
    </w:p>
    <w:p>
      <w:pPr>
        <w:spacing w:after="80" w:line="276" w:lineRule="auto"/>
        <w:jc w:val="both"/>
      </w:pPr>
      <w:r>
        <w:rPr>
          <w:rFonts w:ascii="Calibri" w:hAnsi="Calibri"/>
          <w:i w:val="0"/>
          <w:color w:val="2D3748"/>
          <w:sz w:val="20"/>
        </w:rPr>
        <w:t>where 𝔰_k ∈ 𝒜 is the debiting source entity, 𝔡_k ∈ 𝒜 is the crediting destination counterparty, τ_k ∈ 𝕋 is the posting epoch timestamp, ν_k ∈ ℝ^+ is the positive monetary transfer volume, and c_k ∈ ℝ^{d_c} encodes ledger categorical attributes (posting key, document voucher type).</w:t>
      </w:r>
    </w:p>
    <w:p>
      <w:pPr>
        <w:spacing w:after="80" w:line="276" w:lineRule="auto"/>
        <w:jc w:val="both"/>
      </w:pPr>
      <w:r>
        <w:rPr>
          <w:rFonts w:ascii="Calibri" w:hAnsi="Calibri"/>
          <w:i w:val="0"/>
          <w:color w:val="2D3748"/>
          <w:sz w:val="20"/>
        </w:rPr>
        <w:t>The architecture comprises six tightly coupled operational modules:</w:t>
      </w:r>
    </w:p>
    <w:p>
      <w:pPr>
        <w:pStyle w:val="ListBullet"/>
        <w:spacing w:after="60" w:line="276" w:lineRule="auto"/>
        <w:jc w:val="both"/>
      </w:pPr>
      <w:r>
        <w:rPr>
          <w:rFonts w:ascii="Calibri" w:hAnsi="Calibri"/>
          <w:b/>
          <w:color w:val="2D3748"/>
          <w:sz w:val="20"/>
        </w:rPr>
        <w:t xml:space="preserve">1. Chronological Ingestion &amp; Graph Projection: </w:t>
      </w:r>
      <w:r>
        <w:rPr>
          <w:rFonts w:ascii="Calibri" w:hAnsi="Calibri"/>
          <w:color w:val="2D3748"/>
          <w:sz w:val="20"/>
        </w:rPr>
        <w:t>Sequentially maps continuous transactions to dynamic graph edges under strict time sorting.</w:t>
      </w:r>
    </w:p>
    <w:p>
      <w:pPr>
        <w:pStyle w:val="ListBullet"/>
        <w:spacing w:after="60" w:line="276" w:lineRule="auto"/>
        <w:jc w:val="both"/>
      </w:pPr>
      <w:r>
        <w:rPr>
          <w:rFonts w:ascii="Calibri" w:hAnsi="Calibri"/>
          <w:b/>
          <w:color w:val="2D3748"/>
          <w:sz w:val="20"/>
        </w:rPr>
        <w:t xml:space="preserve">2. Streaming Leakage-Free Topology Engine: </w:t>
      </w:r>
      <w:r>
        <w:rPr>
          <w:rFonts w:ascii="Calibri" w:hAnsi="Calibri"/>
          <w:color w:val="2D3748"/>
          <w:sz w:val="20"/>
        </w:rPr>
        <w:t>Evaluates sliding-window structural metrics solely against historical graph state 𝔊_{&lt; τ_k}.</w:t>
      </w:r>
    </w:p>
    <w:p>
      <w:pPr>
        <w:pStyle w:val="ListBullet"/>
        <w:spacing w:after="60" w:line="276" w:lineRule="auto"/>
        <w:jc w:val="both"/>
      </w:pPr>
      <w:r>
        <w:rPr>
          <w:rFonts w:ascii="Calibri" w:hAnsi="Calibri"/>
          <w:b/>
          <w:color w:val="2D3748"/>
          <w:sz w:val="20"/>
        </w:rPr>
        <w:t xml:space="preserve">3. Continuous Dynamic Graph Representation (TGN): </w:t>
      </w:r>
      <w:r>
        <w:rPr>
          <w:rFonts w:ascii="Calibri" w:hAnsi="Calibri"/>
          <w:color w:val="2D3748"/>
          <w:sz w:val="20"/>
        </w:rPr>
        <w:t>Maintains continuous-time node memory states via a Temporal Graph Network.</w:t>
      </w:r>
    </w:p>
    <w:p>
      <w:pPr>
        <w:pStyle w:val="ListBullet"/>
        <w:spacing w:after="60" w:line="276" w:lineRule="auto"/>
        <w:jc w:val="both"/>
      </w:pPr>
      <w:r>
        <w:rPr>
          <w:rFonts w:ascii="Calibri" w:hAnsi="Calibri"/>
          <w:b/>
          <w:color w:val="2D3748"/>
          <w:sz w:val="20"/>
        </w:rPr>
        <w:t xml:space="preserve">4. Imbalance-Calibrated Ensemble Classifier (XGBoost): </w:t>
      </w:r>
      <w:r>
        <w:rPr>
          <w:rFonts w:ascii="Calibri" w:hAnsi="Calibri"/>
          <w:color w:val="2D3748"/>
          <w:sz w:val="20"/>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20"/>
        </w:rPr>
        <w:t xml:space="preserve">5. Privacy-Preserving Federated Consensus: </w:t>
      </w:r>
      <w:r>
        <w:rPr>
          <w:rFonts w:ascii="Calibri" w:hAnsi="Calibri"/>
          <w:color w:val="2D3748"/>
          <w:sz w:val="20"/>
        </w:rPr>
        <w:t>Aggregates decentralized bank models via validation reliability weighting (FedProx).</w:t>
      </w:r>
    </w:p>
    <w:p>
      <w:pPr>
        <w:pStyle w:val="ListBullet"/>
        <w:spacing w:after="60" w:line="276" w:lineRule="auto"/>
        <w:jc w:val="both"/>
      </w:pPr>
      <w:r>
        <w:rPr>
          <w:rFonts w:ascii="Calibri" w:hAnsi="Calibri"/>
          <w:b/>
          <w:color w:val="2D3748"/>
          <w:sz w:val="20"/>
        </w:rPr>
        <w:t xml:space="preserve">6. Forensic Explainability &amp; Alert Synthesis: </w:t>
      </w:r>
      <w:r>
        <w:rPr>
          <w:rFonts w:ascii="Calibri" w:hAnsi="Calibri"/>
          <w:color w:val="2D3748"/>
          <w:sz w:val="20"/>
        </w:rPr>
        <w:t>Computes exact margin-space TreeSHAP feature attributions and extracts 2-hop causal subgraphs via Neo4j Cypher queries.</w:t>
      </w:r>
    </w:p>
    <w:p>
      <w:pPr>
        <w:keepNext/>
        <w:spacing w:before="160" w:after="40"/>
      </w:pPr>
      <w:r>
        <w:rPr>
          <w:rFonts w:ascii="Calibri" w:hAnsi="Calibri"/>
          <w:b/>
          <w:color w:val="2B6CB0"/>
          <w:sz w:val="22"/>
        </w:rPr>
        <w:t>ii. Preprocessing</w:t>
      </w:r>
    </w:p>
    <w:p>
      <w:pPr>
        <w:spacing w:after="80" w:line="276" w:lineRule="auto"/>
        <w:jc w:val="both"/>
      </w:pPr>
      <w:r>
        <w:rPr>
          <w:rFonts w:ascii="Calibri" w:hAnsi="Calibri"/>
          <w:i w:val="0"/>
          <w:color w:val="2D3748"/>
          <w:sz w:val="20"/>
        </w:rPr>
        <w:t>All financial transaction data is processed through a deterministic, strictly causal pipeline:</w:t>
      </w:r>
    </w:p>
    <w:p>
      <w:pPr>
        <w:pStyle w:val="ListBullet"/>
        <w:spacing w:after="60" w:line="276" w:lineRule="auto"/>
        <w:jc w:val="both"/>
      </w:pPr>
      <w:r>
        <w:rPr>
          <w:rFonts w:ascii="Calibri" w:hAnsi="Calibri"/>
          <w:b/>
          <w:color w:val="2D3748"/>
          <w:sz w:val="20"/>
        </w:rPr>
        <w:t xml:space="preserve">1. Type Normalization: </w:t>
      </w:r>
      <w:r>
        <w:rPr>
          <w:rFonts w:ascii="Calibri" w:hAnsi="Calibri"/>
          <w:color w:val="2D3748"/>
          <w:sz w:val="20"/>
        </w:rPr>
        <w:t>Timestamps are coerced to integer epoch seconds; monetary amounts ν_k &gt; 0 are converted to double-precision floats; categorical metadata are dictionary-encoded with reserved unseen-category indices.</w:t>
      </w:r>
    </w:p>
    <w:p>
      <w:pPr>
        <w:pStyle w:val="ListBullet"/>
        <w:spacing w:after="60" w:line="276" w:lineRule="auto"/>
        <w:jc w:val="both"/>
      </w:pPr>
      <w:r>
        <w:rPr>
          <w:rFonts w:ascii="Calibri" w:hAnsi="Calibri"/>
          <w:b/>
          <w:color w:val="2D3748"/>
          <w:sz w:val="20"/>
        </w:rPr>
        <w:t xml:space="preserve">2. Chronological Partitioning: </w:t>
      </w:r>
      <w:r>
        <w:rPr>
          <w:rFonts w:ascii="Calibri" w:hAnsi="Calibri"/>
          <w:color w:val="2D3748"/>
          <w:sz w:val="20"/>
        </w:rPr>
        <w:t>Transactions are sorted by the composite key (τ_k, tx_id). The data is partitioned into strictly ordered chronological splits: 60% training (τ &lt; T_1), 20% validation (T_1 ≤ τ &lt; T_2), and 20% held-out test (τ ≥ T_2). No shuffling, random cross-validation, or bidirectional temporal imputation is permitted.</w:t>
      </w:r>
    </w:p>
    <w:p>
      <w:pPr>
        <w:pStyle w:val="ListBullet"/>
        <w:spacing w:after="60" w:line="276" w:lineRule="auto"/>
        <w:jc w:val="both"/>
      </w:pPr>
      <w:r>
        <w:rPr>
          <w:rFonts w:ascii="Calibri" w:hAnsi="Calibri"/>
          <w:b/>
          <w:color w:val="2D3748"/>
          <w:sz w:val="20"/>
        </w:rPr>
        <w:t xml:space="preserve">3. Expanding Sequential Estimators: </w:t>
      </w:r>
      <w:r>
        <w:rPr>
          <w:rFonts w:ascii="Calibri" w:hAnsi="Calibri"/>
          <w:color w:val="2D3748"/>
          <w:sz w:val="20"/>
        </w:rPr>
        <w:t>All feature scaling factors and running z-scores are computed using Welford's algorithm [20] over the causal historical set ℍ_k(𝔰_k) = {j &lt; k : 𝔰_j = 𝔰_k} only, preventing lookahead contamination.</w:t>
      </w:r>
    </w:p>
    <w:p>
      <w:pPr>
        <w:keepNext/>
        <w:spacing w:before="160" w:after="40"/>
      </w:pPr>
      <w:r>
        <w:rPr>
          <w:rFonts w:ascii="Calibri" w:hAnsi="Calibri"/>
          <w:b/>
          <w:color w:val="2B6CB0"/>
          <w:sz w:val="22"/>
        </w:rPr>
        <w:t>iii. Feature Analysis</w:t>
      </w:r>
    </w:p>
    <w:p>
      <w:pPr>
        <w:spacing w:after="80" w:line="276" w:lineRule="auto"/>
        <w:jc w:val="both"/>
      </w:pPr>
      <w:r>
        <w:rPr>
          <w:rFonts w:ascii="Calibri" w:hAnsi="Calibri"/>
          <w:i w:val="0"/>
          <w:color w:val="2D3748"/>
          <w:sz w:val="20"/>
        </w:rPr>
        <w:t>Each transaction ξ_k is mapped to a composite feature representation combining tabular indicators, streaming graph topology, and continuous TGN interaction embeddings:</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Φ(ξ_k) = ψ_tab(ξ_k) ⊕ Ω_topo(ξ_k, 𝔊_{&lt; τ_k}^(W)) ⊕ h_dyn^TGN(ξ_k, τ_k) ∈ ℝ^D</w:t>
            </w:r>
            <w:r>
              <w:rPr>
                <w:rFonts w:ascii="Calibri" w:hAnsi="Calibri"/>
                <w:i/>
                <w:color w:val="718096"/>
                <w:sz w:val="19"/>
              </w:rPr>
              <w:t xml:space="preserve">    (3)</w:t>
            </w:r>
          </w:p>
        </w:tc>
      </w:tr>
    </w:tbl>
    <w:p>
      <w:pPr>
        <w:spacing w:after="40"/>
      </w:pPr>
    </w:p>
    <w:p>
      <w:pPr>
        <w:spacing w:after="80" w:line="276" w:lineRule="auto"/>
        <w:jc w:val="both"/>
      </w:pPr>
      <w:r>
        <w:rPr>
          <w:rFonts w:ascii="Calibri" w:hAnsi="Calibri"/>
          <w:i w:val="0"/>
          <w:color w:val="2D3748"/>
          <w:sz w:val="20"/>
        </w:rPr>
        <w:t>across three distinct taxonomic families:</w:t>
      </w:r>
    </w:p>
    <w:p>
      <w:pPr>
        <w:pStyle w:val="ListBullet"/>
        <w:spacing w:after="60" w:line="276" w:lineRule="auto"/>
        <w:jc w:val="both"/>
      </w:pPr>
      <w:r>
        <w:rPr>
          <w:rFonts w:ascii="Calibri" w:hAnsi="Calibri"/>
          <w:b/>
          <w:color w:val="2D3748"/>
          <w:sz w:val="20"/>
        </w:rPr>
        <w:t xml:space="preserve">1. Ordinary Tabular Features (ψ_tab): </w:t>
      </w:r>
      <w:r>
        <w:rPr>
          <w:rFonts w:ascii="Calibri" w:hAnsi="Calibri"/>
          <w:color w:val="2D3748"/>
          <w:sz w:val="20"/>
        </w:rPr>
        <w:t>log_10(ν_k + 1), running causal z-scores, diurnal periodic encodings (sin(2π ℏ_k / 24), cos(2π ℏ_k / 24)) where ℏ_k is posting hour, and inter-event arrival deltas Δτ_k = τ_k - τ_last(𝔰_k).</w:t>
      </w:r>
    </w:p>
    <w:p>
      <w:pPr>
        <w:pStyle w:val="ListBullet"/>
        <w:spacing w:after="60" w:line="276" w:lineRule="auto"/>
        <w:jc w:val="both"/>
      </w:pPr>
      <w:r>
        <w:rPr>
          <w:rFonts w:ascii="Calibri" w:hAnsi="Calibri"/>
          <w:b/>
          <w:color w:val="2D3748"/>
          <w:sz w:val="20"/>
        </w:rPr>
        <w:t xml:space="preserve">2. Handcrafted Streaming Topology (Ω_topo): </w:t>
      </w:r>
      <w:r>
        <w:rPr>
          <w:rFonts w:ascii="Calibri" w:hAnsi="Calibri"/>
          <w:color w:val="2D3748"/>
          <w:sz w:val="20"/>
        </w:rPr>
        <w:t>Thirteen structural and behavioral features extracted dynamically by the streaming engine over trailing windows W ∈ {1d, 7d, 30d}: source out-degree, destination in-degree, fan-in ratio, fan-out ratio, counterparty reciprocity, burstiness velocity, amount recurrence count (LapMemory), and directed cycle counts.</w:t>
      </w:r>
    </w:p>
    <w:p>
      <w:pPr>
        <w:pStyle w:val="ListBullet"/>
        <w:spacing w:after="60" w:line="276" w:lineRule="auto"/>
        <w:jc w:val="both"/>
      </w:pPr>
      <w:r>
        <w:rPr>
          <w:rFonts w:ascii="Calibri" w:hAnsi="Calibri"/>
          <w:b/>
          <w:color w:val="2D3748"/>
          <w:sz w:val="20"/>
        </w:rPr>
        <w:t xml:space="preserve">3. Continuous Dynamic Graph Embeddings (h_dyn^TGN): </w:t>
      </w:r>
      <w:r>
        <w:rPr>
          <w:rFonts w:ascii="Calibri" w:hAnsi="Calibri"/>
          <w:color w:val="2D3748"/>
          <w:sz w:val="20"/>
        </w:rPr>
        <w:t>16-dimensional continuous-time latent representations produced by a Temporal Graph Network (TGN) [4], encoding sequential memory states and interaction dynamics between counterparties.</w:t>
      </w:r>
    </w:p>
    <w:p>
      <w:pPr>
        <w:spacing w:after="80" w:line="276" w:lineRule="auto"/>
        <w:jc w:val="both"/>
      </w:pPr>
      <w:r>
        <w:rPr>
          <w:rFonts w:ascii="Calibri" w:hAnsi="Calibri"/>
          <w:i w:val="0"/>
          <w:color w:val="2D3748"/>
          <w:sz w:val="20"/>
        </w:rPr>
        <w:t>The Read-Then-Insert Execution Invariant: To guarantee zero lookahead leakage, the engine evaluates topology strictly against the trailing causal subgraph 𝔊_{&lt; τ_k}^(W) = { ξ_j ∈ 𝒳 : τ_k - W ≤ τ_j &lt; τ_k }, enforcing:</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 ξ_j ∈ 𝔊_{&lt; τ_k}^(W),   τ_j &lt; τ_k  ⟹  ξ_k ∉ 𝔊_{&lt; τ_k}^(W)</w:t>
            </w:r>
            <w:r>
              <w:rPr>
                <w:rFonts w:ascii="Calibri" w:hAnsi="Calibri"/>
                <w:i/>
                <w:color w:val="718096"/>
                <w:sz w:val="19"/>
              </w:rPr>
              <w:t xml:space="preserve">    (4)</w:t>
            </w:r>
          </w:p>
        </w:tc>
      </w:tr>
    </w:tbl>
    <w:p>
      <w:pPr>
        <w:spacing w:after="40"/>
      </w:pPr>
    </w:p>
    <w:p>
      <w:pPr>
        <w:spacing w:after="80" w:line="276" w:lineRule="auto"/>
        <w:jc w:val="both"/>
      </w:pPr>
      <w:r>
        <w:rPr>
          <w:rFonts w:ascii="Calibri" w:hAnsi="Calibri"/>
          <w:i w:val="0"/>
          <w:color w:val="2D3748"/>
          <w:sz w:val="20"/>
        </w:rPr>
        <w:t>Graph queries read historical state before edge ξ_k is added to the graph.</w:t>
      </w:r>
    </w:p>
    <w:p>
      <w:pPr>
        <w:keepNext/>
        <w:spacing w:before="120" w:after="40"/>
        <w:jc w:val="center"/>
      </w:pPr>
      <w:r>
        <w:drawing>
          <wp:inline xmlns:a="http://schemas.openxmlformats.org/drawingml/2006/main" xmlns:pic="http://schemas.openxmlformats.org/drawingml/2006/picture">
            <wp:extent cx="5852160" cy="5320145"/>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5852160" cy="5320145"/>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2"/>
        </w:rPr>
        <w:t>iv. Classification</w:t>
      </w:r>
    </w:p>
    <w:p>
      <w:pPr>
        <w:spacing w:after="80" w:line="276" w:lineRule="auto"/>
        <w:jc w:val="both"/>
      </w:pPr>
      <w:r>
        <w:rPr>
          <w:rFonts w:ascii="Calibri" w:hAnsi="Calibri"/>
          <w:i w:val="0"/>
          <w:color w:val="2D3748"/>
          <w:sz w:val="20"/>
        </w:rPr>
        <w:t>The proposed TGN-XGBoost champion model couples the composite representation with gradient-boosted decision trees [19]:</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f_TGN-XGBoost(ξ_k) = 𝒯_GBDT( Φ(ξ_k); 𝒥_focal, Θ* )</w:t>
            </w:r>
            <w:r>
              <w:rPr>
                <w:rFonts w:ascii="Calibri" w:hAnsi="Calibri"/>
                <w:i/>
                <w:color w:val="718096"/>
                <w:sz w:val="19"/>
              </w:rPr>
              <w:t xml:space="preserve">    (5)</w:t>
            </w:r>
          </w:p>
        </w:tc>
      </w:tr>
    </w:tbl>
    <w:p>
      <w:pPr>
        <w:spacing w:after="40"/>
      </w:pPr>
    </w:p>
    <w:p>
      <w:pPr>
        <w:spacing w:after="80" w:line="276" w:lineRule="auto"/>
        <w:jc w:val="both"/>
      </w:pPr>
      <w:r>
        <w:rPr>
          <w:rFonts w:ascii="Calibri" w:hAnsi="Calibri"/>
          <w:i w:val="0"/>
          <w:color w:val="2D3748"/>
          <w:sz w:val="20"/>
        </w:rPr>
        <w:t>optimized under an unweighted, symmetric α-free focal loss [17]:</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𝒥_focal(π̂_k, y_k) = - y_k (1 - π̂_k)^γ ln(π̂_k) - (1 - y_k) π̂_k^γ ln(1 - π̂_k)</w:t>
            </w:r>
            <w:r>
              <w:rPr>
                <w:rFonts w:ascii="Calibri" w:hAnsi="Calibri"/>
                <w:i/>
                <w:color w:val="718096"/>
                <w:sz w:val="19"/>
              </w:rPr>
              <w:t xml:space="preserve">    (6)</w:t>
            </w:r>
          </w:p>
        </w:tc>
      </w:tr>
    </w:tbl>
    <w:p>
      <w:pPr>
        <w:spacing w:after="40"/>
      </w:pPr>
    </w:p>
    <w:p>
      <w:pPr>
        <w:spacing w:after="80" w:line="276" w:lineRule="auto"/>
        <w:jc w:val="both"/>
      </w:pPr>
      <w:r>
        <w:rPr>
          <w:rFonts w:ascii="Calibri" w:hAnsi="Calibri"/>
          <w:i w:val="0"/>
          <w:color w:val="2D3748"/>
          <w:sz w:val="20"/>
        </w:rPr>
        <w:t>where π̂_k = σ(θ_k) = (1 + e^-θ_k)^-1 is the sigmoid posterior of predicted log-odds margin θ_k ∈ ℝ, y_k ∈ {0, 1} is the forensic label, and γ ∈ ℝ^+ is the focusing factor (γ = 1.0 for BankSim, γ = 2.0 for SAP Würzburg). Decision thresholds θ_audit* are tuned strictly on validation splits and frozen for test evaluation.</w:t>
      </w:r>
    </w:p>
    <w:p>
      <w:pPr>
        <w:keepNext/>
        <w:spacing w:before="160" w:after="40"/>
      </w:pPr>
      <w:r>
        <w:rPr>
          <w:rFonts w:ascii="Calibri" w:hAnsi="Calibri"/>
          <w:b/>
          <w:color w:val="2B6CB0"/>
          <w:sz w:val="22"/>
        </w:rPr>
        <w:t>v. Federated</w:t>
      </w:r>
    </w:p>
    <w:p>
      <w:pPr>
        <w:spacing w:after="80" w:line="276" w:lineRule="auto"/>
        <w:jc w:val="both"/>
      </w:pPr>
      <w:r>
        <w:rPr>
          <w:rFonts w:ascii="Calibri" w:hAnsi="Calibri"/>
          <w:i w:val="0"/>
          <w:color w:val="2D3748"/>
          <w:sz w:val="20"/>
        </w:rPr>
        <w:t>To overcome cross-institutional banking secrecy barriers (GDPR, GLBA), we deploy a Score-Level Ensemble Consensus architecture across C=4 heterogeneous institutional clients. Rather than uniform averaging (FedAvg) [14], our server implements empirical validation reliability weighting (FedProx) [15]:</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ϖ_c = (𝒫_val^(c))^κ / ∑_{m=1}^C (𝒫_val^(m))^κ,   Π̂_consensus(ξ_k) = ∑_{c=1}^C ϖ_c · ℳ^(c)( Φ(ξ_k) )</w:t>
            </w:r>
            <w:r>
              <w:rPr>
                <w:rFonts w:ascii="Calibri" w:hAnsi="Calibri"/>
                <w:i/>
                <w:color w:val="718096"/>
                <w:sz w:val="19"/>
              </w:rPr>
              <w:t xml:space="preserve">    (7)</w:t>
            </w:r>
          </w:p>
        </w:tc>
      </w:tr>
    </w:tbl>
    <w:p>
      <w:pPr>
        <w:spacing w:after="40"/>
      </w:pPr>
    </w:p>
    <w:p>
      <w:pPr>
        <w:spacing w:after="80" w:line="276" w:lineRule="auto"/>
        <w:jc w:val="both"/>
      </w:pPr>
      <w:r>
        <w:rPr>
          <w:rFonts w:ascii="Calibri" w:hAnsi="Calibri"/>
          <w:i w:val="0"/>
          <w:color w:val="2D3748"/>
          <w:sz w:val="20"/>
        </w:rPr>
        <w:t>where 𝒫_val^(c) = PR-AUC(𝒟_val^(c)) and κ ≥ 1.0.</w:t>
      </w:r>
    </w:p>
    <w:p>
      <w:pPr>
        <w:keepNext/>
        <w:spacing w:before="160" w:after="40"/>
      </w:pPr>
      <w:r>
        <w:rPr>
          <w:rFonts w:ascii="Calibri" w:hAnsi="Calibri"/>
          <w:b/>
          <w:color w:val="2B6CB0"/>
          <w:sz w:val="22"/>
        </w:rPr>
        <w:t>vi. Explainable</w:t>
      </w:r>
    </w:p>
    <w:p>
      <w:pPr>
        <w:spacing w:after="80" w:line="276" w:lineRule="auto"/>
        <w:jc w:val="both"/>
      </w:pPr>
      <w:r>
        <w:rPr>
          <w:rFonts w:ascii="Calibri" w:hAnsi="Calibri"/>
          <w:i w:val="0"/>
          <w:color w:val="2D3748"/>
          <w:sz w:val="20"/>
        </w:rPr>
        <w:t>Regulatory compliance requires verifiable evidence trails [9, 10]. Feature attributions are computed via exact TreeSHAP [18] in log-odds margin space:</w:t>
      </w:r>
    </w:p>
    <w:tbl>
      <w:tblPr>
        <w:tblW w:type="auto" w:w="0"/>
        <w:jc w:val="center"/>
        <w:tblLook w:firstColumn="1" w:firstRow="1" w:lastColumn="0" w:lastRow="0" w:noHBand="0" w:noVBand="1" w:val="04A0"/>
      </w:tblPr>
      <w:tblGrid>
        <w:gridCol w:w="10080"/>
      </w:tblGrid>
      <w:tr>
        <w:tc>
          <w:tcPr>
            <w:tcW w:type="dxa" w:w="9360"/>
            <w:shd w:fill="F8FAFC"/>
            <w:tcBorders>
              <w:top w:val="none"/>
              <w:left w:val="single" w:sz="18" w:space="0" w:color="2B6CB0"/>
              <w:bottom w:val="none"/>
              <w:right w:val="none"/>
            </w:tcBorders>
            <w:tcMar>
              <w:top w:w="80" w:type="dxa"/>
              <w:left w:w="140" w:type="dxa"/>
              <w:bottom w:w="80" w:type="dxa"/>
              <w:right w:w="100" w:type="dxa"/>
            </w:tcMar>
          </w:tcPr>
          <w:p>
            <w:pPr>
              <w:spacing w:before="40" w:after="40" w:line="276" w:lineRule="auto"/>
            </w:pPr>
            <w:r>
              <w:rPr>
                <w:rFonts w:ascii="Consolas" w:hAnsi="Consolas"/>
                <w:b/>
                <w:color w:val="1B365D"/>
                <w:sz w:val="19"/>
              </w:rPr>
              <w:t>θ_k = ln( π̂_k / (1 - π̂_k) ) = Λ_0 + ∑_{d=1}^D Λ_d( Φ(ξ_k) )</w:t>
            </w:r>
            <w:r>
              <w:rPr>
                <w:rFonts w:ascii="Calibri" w:hAnsi="Calibri"/>
                <w:i/>
                <w:color w:val="718096"/>
                <w:sz w:val="19"/>
              </w:rPr>
              <w:t xml:space="preserve">    (8)</w:t>
            </w:r>
          </w:p>
        </w:tc>
      </w:tr>
    </w:tbl>
    <w:p>
      <w:pPr>
        <w:spacing w:after="40"/>
      </w:pPr>
    </w:p>
    <w:p>
      <w:pPr>
        <w:spacing w:after="80" w:line="276" w:lineRule="auto"/>
        <w:jc w:val="both"/>
      </w:pPr>
      <w:r>
        <w:rPr>
          <w:rFonts w:ascii="Calibri" w:hAnsi="Calibri"/>
          <w:i w:val="0"/>
          <w:color w:val="2D3748"/>
          <w:sz w:val="20"/>
        </w:rPr>
        <w:t>When an anomaly score exceeds θ_audit*, the continuous auditing console synthesizes a two-layer forensic alert packet: (1) Layer 1: Top 3 signed driving features in log-odds space; and (2) Layer 2: A deterministic Cypher query executing against Neo4j extracting the historical subgraph.</w:t>
      </w:r>
    </w:p>
    <w:p>
      <w:pPr>
        <w:keepNext/>
        <w:spacing w:before="240" w:after="60"/>
      </w:pPr>
      <w:r>
        <w:rPr>
          <w:rFonts w:ascii="Calibri" w:hAnsi="Calibri"/>
          <w:b/>
          <w:color w:val="1B365D"/>
          <w:sz w:val="25"/>
        </w:rPr>
        <w:t>4. Result and analysis</w:t>
      </w:r>
    </w:p>
    <w:p>
      <w:pPr>
        <w:keepNext/>
        <w:spacing w:before="160" w:after="40"/>
      </w:pPr>
      <w:r>
        <w:rPr>
          <w:rFonts w:ascii="Calibri" w:hAnsi="Calibri"/>
          <w:b/>
          <w:color w:val="2B6CB0"/>
          <w:sz w:val="22"/>
        </w:rPr>
        <w:t>i. Dataset Description</w:t>
      </w:r>
    </w:p>
    <w:p>
      <w:pPr>
        <w:spacing w:after="80" w:line="276" w:lineRule="auto"/>
        <w:jc w:val="both"/>
      </w:pPr>
      <w:r>
        <w:rPr>
          <w:rFonts w:ascii="Calibri" w:hAnsi="Calibri"/>
          <w:i w:val="0"/>
          <w:color w:val="2D3748"/>
          <w:sz w:val="20"/>
        </w:rPr>
        <w:t>We evaluate our framework across three diverse, benchmark financial transaction datasets: Dataset 1 (BankSim) represents a synthetic bipartite consumer-to-merchant payment simulation containing 594,643 transactions across 4,166 unique accounts (4,116 customers, 50 merchants) [11] with a 1.21% fraud rate. Dataset 2 (IBM AML) models a directed multi-hop transaction network generated from financial anti-money laundering typologies containing 5,076,142 transactions across 412,416 accounts, featuring complex smurfing and layering chains [12] (0.12% fraud rate in the test split). Dataset 3 (SAP Würzburg) represents a real-world enterprise general ledger export containing 200,687 double-entry accounting records across 1,422 balance sheet and P\&amp;L accounts, reflecting legitimate clearing hub structures [13] (0.012% fraud rate).</w:t>
      </w:r>
    </w:p>
    <w:p>
      <w:pPr>
        <w:keepNext/>
        <w:spacing w:before="160" w:after="40"/>
      </w:pPr>
      <w:r>
        <w:rPr>
          <w:rFonts w:ascii="Calibri" w:hAnsi="Calibri"/>
          <w:b/>
          <w:color w:val="1B365D"/>
          <w:sz w:val="19"/>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12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Attribute / Metric</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Transactions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594,643</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5,076,142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200,687</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Unique Entities |𝒜|</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4,166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412,416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1,422</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Graph Topology</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Bipartite Consumer-Merchant</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Directed Multi-Hop</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Relational General Ledger</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Time Span</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180 Simulation Steps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 (Timestamped)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Full Fiscal Year (Postings)</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Trailing Window (W)</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 Steps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Fraud Cases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7,200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1,719</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248</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Overall Fraud Rate</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1.21%</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0.123%</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Train Transactions (τ &lt; T1)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353,638 (1.29%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790,442 (0.13%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120,411 (0.17% fraud)</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Val Transactions (T1 ≤ τ &lt; T2)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118,727 (1.11%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266,593 (0.12%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40,137 (0.047% fraud)</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Test Transactions (τ ≥ T2)</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 (1.08%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 (0.14%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 (0.062% fraud)</w:t>
            </w:r>
          </w:p>
        </w:tc>
      </w:tr>
    </w:tbl>
    <w:p>
      <w:pPr>
        <w:spacing w:after="80"/>
      </w:pPr>
    </w:p>
    <w:p>
      <w:pPr>
        <w:keepNext/>
        <w:spacing w:before="160" w:after="40"/>
      </w:pPr>
      <w:r>
        <w:rPr>
          <w:rFonts w:ascii="Calibri" w:hAnsi="Calibri"/>
          <w:b/>
          <w:color w:val="2B6CB0"/>
          <w:sz w:val="22"/>
        </w:rPr>
        <w:t>ii. Comparison of Performance Metrics With Traditional Machine Learning Models</w:t>
      </w:r>
    </w:p>
    <w:p>
      <w:pPr>
        <w:spacing w:after="80" w:line="276" w:lineRule="auto"/>
        <w:jc w:val="both"/>
      </w:pPr>
      <w:r>
        <w:rPr>
          <w:rFonts w:ascii="Calibri" w:hAnsi="Calibri"/>
          <w:i w:val="0"/>
          <w:color w:val="2D3748"/>
          <w:sz w:val="20"/>
        </w:rPr>
        <w:t>We benchmark the proposed TGN-XGBoost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9"/>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98.79%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0.5820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0.4912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0.5328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0.5120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99.21%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0.7142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0.6979</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0.6420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0.6460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0.6180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0.6538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0.7436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99.68%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0.8792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0.8212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0.8492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w:t>
            </w:r>
          </w:p>
        </w:tc>
      </w:tr>
    </w:tbl>
    <w:p>
      <w:pPr>
        <w:spacing w:after="80"/>
      </w:pPr>
    </w:p>
    <w:p>
      <w:pPr>
        <w:keepNext/>
        <w:spacing w:before="160" w:after="40"/>
      </w:pPr>
      <w:r>
        <w:rPr>
          <w:rFonts w:ascii="Calibri" w:hAnsi="Calibri"/>
          <w:b/>
          <w:color w:val="1B365D"/>
          <w:sz w:val="19"/>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0.5402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0.5739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0.9142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0.6280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0.7514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0.8677</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0.9780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0.7018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0.9811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r>
    </w:tbl>
    <w:p>
      <w:pPr>
        <w:spacing w:after="80"/>
      </w:pPr>
    </w:p>
    <w:p>
      <w:pPr>
        <w:keepNext/>
        <w:spacing w:before="160" w:after="40"/>
      </w:pPr>
      <w:r>
        <w:rPr>
          <w:rFonts w:ascii="Calibri" w:hAnsi="Calibri"/>
          <w:b/>
          <w:color w:val="1B365D"/>
          <w:sz w:val="19"/>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0.0210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0.0333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0.0250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0.0530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0.1600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0.0415</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0.0896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0.2400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0.1304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(Proposed)</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99.93%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0.1333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0.3200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0.1882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w:t>
            </w:r>
          </w:p>
        </w:tc>
      </w:tr>
    </w:tbl>
    <w:p>
      <w:pPr>
        <w:spacing w:after="80"/>
      </w:pPr>
    </w:p>
    <w:p>
      <w:pPr>
        <w:spacing w:after="80" w:line="276" w:lineRule="auto"/>
        <w:jc w:val="both"/>
      </w:pPr>
      <w:r>
        <w:rPr>
          <w:rFonts w:ascii="Calibri" w:hAnsi="Calibri"/>
          <w:i w:val="0"/>
          <w:color w:val="2D3748"/>
          <w:sz w:val="20"/>
        </w:rPr>
        <w:t>Discussion: Across all three datasets, the proposed TGN-XGBoost champion consistently outperforms classical linear and tree models. On Dataset 1 (BankSim), TGN-XGBoost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TGN-XGBoost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5852160" cy="3775587"/>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5852160" cy="3775587"/>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TGN-XGBoost Champion. The shaded band highlights the operational Precision@100 auditing envelope (100% precision at top 100 alerts).</w:t>
      </w:r>
    </w:p>
    <w:p>
      <w:pPr>
        <w:keepNext/>
        <w:spacing w:before="160" w:after="40"/>
      </w:pPr>
      <w:r>
        <w:rPr>
          <w:rFonts w:ascii="Calibri" w:hAnsi="Calibri"/>
          <w:b/>
          <w:color w:val="2B6CB0"/>
          <w:sz w:val="22"/>
        </w:rPr>
        <w:t>iii. Ablation experiment</w:t>
      </w:r>
    </w:p>
    <w:p>
      <w:pPr>
        <w:keepNext/>
        <w:spacing w:before="120" w:after="40"/>
      </w:pPr>
      <w:r>
        <w:rPr>
          <w:rFonts w:ascii="Calibri" w:hAnsi="Calibri"/>
          <w:b/>
          <w:color w:val="2D3748"/>
          <w:sz w:val="20"/>
        </w:rPr>
        <w:t>a. Feature Fusion Module Ablation Experiments</w:t>
      </w:r>
    </w:p>
    <w:p>
      <w:pPr>
        <w:spacing w:after="80" w:line="276" w:lineRule="auto"/>
        <w:jc w:val="both"/>
      </w:pPr>
      <w:r>
        <w:rPr>
          <w:rFonts w:ascii="Calibri" w:hAnsi="Calibri"/>
          <w:i w:val="0"/>
          <w:color w:val="2D3748"/>
          <w:sz w:val="20"/>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9"/>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51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Feature Module Configuration</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1. Baseline Tabular (ψ_tab)</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 ± 0.0700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 ± 0.0026</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 ± 0.0129</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2. Structure Only (Amount-Blind)</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 ± 0.0035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0.9922 ± 0.0025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0.0734 ± 0.0081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3. Handcrafted Topology Only (Ω_topo)</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0.9319 ± 0.0017</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4. TGN Dynamic Embeddings Only (h_dyn)</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0.9196 ± 0.0012</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0.9872 ± 0.0101</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0.0594 ± 0.0241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5. Tabular + Handcrafted Topology</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0.9322 ± 0.0014</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6. Tabular + TGN Dynamic Embeddings</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0.9254 ± 0.0018</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0.0010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0.0812 ± 0.0184</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7. TGN-XGBoost Full Fusion (Proposed)</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 ± 0.0015</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 ± 0.0717</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Marginal Graph Lift (Over Tabular)</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+11.7% (+0.0974)</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 (+0.0080)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-54.6% (-0.0864)</w:t>
            </w:r>
          </w:p>
        </w:tc>
      </w:tr>
    </w:tbl>
    <w:p>
      <w:pPr>
        <w:spacing w:after="80"/>
      </w:pPr>
    </w:p>
    <w:p>
      <w:pPr>
        <w:spacing w:after="80" w:line="276" w:lineRule="auto"/>
        <w:jc w:val="both"/>
      </w:pPr>
      <w:r>
        <w:rPr>
          <w:rFonts w:ascii="Calibri" w:hAnsi="Calibri"/>
          <w:i w:val="0"/>
          <w:color w:val="2D3748"/>
          <w:sz w:val="20"/>
        </w:rPr>
        <w:t>Ablation Findings &amp; Analysis:</w:t>
      </w:r>
    </w:p>
    <w:p>
      <w:pPr>
        <w:pStyle w:val="ListBullet"/>
        <w:spacing w:after="60" w:line="276" w:lineRule="auto"/>
        <w:jc w:val="both"/>
      </w:pPr>
      <w:r>
        <w:rPr>
          <w:rFonts w:ascii="Calibri" w:hAnsi="Calibri"/>
          <w:b/>
          <w:color w:val="2D3748"/>
          <w:sz w:val="20"/>
        </w:rPr>
        <w:t xml:space="preserve">1. Conditional Graph Lift: </w:t>
      </w:r>
      <w:r>
        <w:rPr>
          <w:rFonts w:ascii="Calibri" w:hAnsi="Calibri"/>
          <w:color w:val="2D3748"/>
          <w:sz w:val="20"/>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20"/>
        </w:rPr>
        <w:t xml:space="preserve">2. The Relational ERP Clearing Hub Paradox: </w:t>
      </w:r>
      <w:r>
        <w:rPr>
          <w:rFonts w:ascii="Calibri" w:hAnsi="Calibri"/>
          <w:color w:val="2D3748"/>
          <w:sz w:val="20"/>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20"/>
        </w:rPr>
        <w:t xml:space="preserve">3. Handcrafted Topology vs. Learned TGN: </w:t>
      </w:r>
      <w:r>
        <w:rPr>
          <w:rFonts w:ascii="Calibri" w:hAnsi="Calibri"/>
          <w:color w:val="2D3748"/>
          <w:sz w:val="20"/>
        </w:rPr>
        <w:t>Handcrafted streaming topology consistently outperforms learned continuous TGN embeddings on real financial data (0.9319 vs. 0.9196 on BankSim). However, fusing both within TGN-XGBoost captures complementary temporal dynamics, achieving peak overall PR-AUC (0.9364).</w:t>
      </w:r>
    </w:p>
    <w:p>
      <w:pPr>
        <w:keepNext/>
        <w:spacing w:before="120" w:after="40"/>
      </w:pPr>
      <w:r>
        <w:rPr>
          <w:rFonts w:ascii="Calibri" w:hAnsi="Calibri"/>
          <w:b/>
          <w:color w:val="2D3748"/>
          <w:sz w:val="20"/>
        </w:rPr>
        <w:t>b. Ablation study on activation function</w:t>
      </w:r>
    </w:p>
    <w:p>
      <w:pPr>
        <w:spacing w:after="80" w:line="276" w:lineRule="auto"/>
        <w:jc w:val="both"/>
      </w:pPr>
      <w:r>
        <w:rPr>
          <w:rFonts w:ascii="Calibri" w:hAnsi="Calibri"/>
          <w:i w:val="0"/>
          <w:color w:val="2D3748"/>
          <w:sz w:val="20"/>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9"/>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228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Activation Function</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Mathematical Formulation</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max(0, 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0.9312 ± 0.0021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0.1482 ± 0.0180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LeakyReLU (α = 0.1)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max(α x, 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 ± 0.0015</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 Φ(x)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0.9348 ± 0.0018</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0.9995 ± 0.0002</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0.1524 ± 0.0210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ELU (α = 1.0)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&gt; 0 ? x : α(e^x - 1)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0.9329 ± 0.0020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 ± 0.0004</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0.1501 ± 0.0195</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Sigmoid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 + e^-x)^-1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0.8845 ± 0.0084</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0.9620 ± 0.0085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0.0912 ± 0.0350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Tanh</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(e^x - e^-x)/(e^x + e^-x)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0.9082 ± 0.0052</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0.9841 ± 0.0041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5852160" cy="261051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5852160" cy="261051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20"/>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2"/>
        </w:rPr>
        <w:t>iv. Federated Learning Results Analysis</w:t>
      </w:r>
    </w:p>
    <w:p>
      <w:pPr>
        <w:keepNext/>
        <w:spacing w:before="120" w:after="40"/>
        <w:jc w:val="center"/>
      </w:pPr>
      <w:r>
        <w:drawing>
          <wp:inline xmlns:a="http://schemas.openxmlformats.org/drawingml/2006/main" xmlns:pic="http://schemas.openxmlformats.org/drawingml/2006/picture">
            <wp:extent cx="5852160" cy="380710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5852160" cy="380710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20"/>
        </w:rPr>
        <w:t>a. Client wise Training Accuracy and loss graphs</w:t>
      </w:r>
    </w:p>
    <w:p>
      <w:pPr>
        <w:spacing w:after="80" w:line="276" w:lineRule="auto"/>
        <w:jc w:val="both"/>
      </w:pPr>
      <w:r>
        <w:rPr>
          <w:rFonts w:ascii="Calibri" w:hAnsi="Calibri"/>
          <w:i w:val="0"/>
          <w:color w:val="2D3748"/>
          <w:sz w:val="20"/>
        </w:rPr>
        <w:t>Fig. 5(a) and (b) depict local training dynamics across the C=4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20"/>
        </w:rPr>
        <w:t>b. Global model (Server) Test Accuracy and Loss graphs</w:t>
      </w:r>
    </w:p>
    <w:p>
      <w:pPr>
        <w:spacing w:after="80" w:line="276" w:lineRule="auto"/>
        <w:jc w:val="both"/>
      </w:pPr>
      <w:r>
        <w:rPr>
          <w:rFonts w:ascii="Calibri" w:hAnsi="Calibri"/>
          <w:i w:val="0"/>
          <w:color w:val="2D3748"/>
          <w:sz w:val="20"/>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20"/>
        </w:rPr>
        <w:t>c. Comparison with other federated learning frameworks</w:t>
      </w:r>
    </w:p>
    <w:p>
      <w:pPr>
        <w:spacing w:after="80" w:line="276" w:lineRule="auto"/>
        <w:jc w:val="both"/>
      </w:pPr>
      <w:r>
        <w:rPr>
          <w:rFonts w:ascii="Calibri" w:hAnsi="Calibri"/>
          <w:i w:val="0"/>
          <w:color w:val="2D3748"/>
          <w:sz w:val="20"/>
        </w:rPr>
        <w:t>We benchmark our FedProx validation reliability weighting against standard federated optimization algorithms across all three datasets (Table 7 and Fig. 6).</w:t>
      </w:r>
    </w:p>
    <w:p>
      <w:pPr>
        <w:keepNext/>
        <w:spacing w:before="160" w:after="40"/>
      </w:pPr>
      <w:r>
        <w:rPr>
          <w:rFonts w:ascii="Calibri" w:hAnsi="Calibri"/>
          <w:b/>
          <w:color w:val="1B365D"/>
          <w:sz w:val="19"/>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34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Federated Framework</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F1</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Upper Bound (No Privacy)</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0.9241 ± 0.0022</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0.8351</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Isolated Local-Only (Zero Sharing)</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0.8547 ± 0.0035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0.7684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0.9612 ± 0.0042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0.9480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0.0520 ± 0.0150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0.0610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FedAvg (Uniform Consensus) [14]</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0.9128 ± 0.0040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0.8359</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0.0005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0.9912</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0.1085 ± 0.0180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0.1240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Size-Weighted FedAvg [14]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0.9069 ± 0.0021</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0.8085</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0.9975 ± 0.0008</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0.1142 ± 0.0165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0.1315</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SCAFFOLD (Variance Reduction) [16]</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0.9135 ± 0.0028</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0.8348</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0.0004</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0.9945</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0.1210 ± 0.0140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0.1420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TGN-XGBoost FedProx (Proposed)</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0.9140 ± 0.0037</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0.8343</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0.9995 ± 0.0002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0.9982</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0.1412 ± 0.0110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0.1650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Parity Recovered</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98.91%</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90.69%</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20" w:after="40"/>
        <w:jc w:val="center"/>
      </w:pPr>
      <w:r>
        <w:drawing>
          <wp:inline xmlns:a="http://schemas.openxmlformats.org/drawingml/2006/main" xmlns:pic="http://schemas.openxmlformats.org/drawingml/2006/picture">
            <wp:extent cx="5852160" cy="2223821"/>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5852160" cy="2223821"/>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(C=4). (a) Per-client breakdown comparing isolated local slice, isolated on global stream (blind spot drop), and TGN-XGBoost consensus; (b) Federation client sensitivity across network sizes C ∈ {2, 3, 4, 5}.</w:t>
      </w:r>
    </w:p>
    <w:p>
      <w:pPr>
        <w:spacing w:after="80" w:line="276" w:lineRule="auto"/>
        <w:jc w:val="both"/>
      </w:pPr>
      <w:r>
        <w:rPr>
          <w:rFonts w:ascii="Calibri" w:hAnsi="Calibri"/>
          <w:i w:val="0"/>
          <w:color w:val="2D3748"/>
          <w:sz w:val="20"/>
        </w:rPr>
        <w:t>Discussion: Under severe non-IID client skew, standard FedAvg allows large, low-fraud institutions (Client 0) to overpower specialized institutions. Size-weighted FedAvg degrades performance further because Client 0 holds 87.5% of total volume. Our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2"/>
        </w:rPr>
        <w:t>v. Class-wise Analysis</w:t>
      </w:r>
    </w:p>
    <w:p>
      <w:pPr>
        <w:keepNext/>
        <w:spacing w:before="120" w:after="40"/>
      </w:pPr>
      <w:r>
        <w:rPr>
          <w:rFonts w:ascii="Calibri" w:hAnsi="Calibri"/>
          <w:b/>
          <w:color w:val="2D3748"/>
          <w:sz w:val="20"/>
        </w:rPr>
        <w:t>a. Confusion Matrix</w:t>
      </w:r>
    </w:p>
    <w:p>
      <w:pPr>
        <w:spacing w:after="80" w:line="276" w:lineRule="auto"/>
        <w:jc w:val="both"/>
      </w:pPr>
      <w:r>
        <w:rPr>
          <w:rFonts w:ascii="Calibri" w:hAnsi="Calibri"/>
          <w:i w:val="0"/>
          <w:color w:val="2D3748"/>
          <w:sz w:val="20"/>
        </w:rPr>
        <w:t>To provide full empirical forensic transparency into classification error distributions without reliance on text tabular abstractions, Fig. 7 presents the visual 2x2 confusion contingency matrices for the proposed TGN-XGBoost model evaluated across all three benchmark datasets on the chronologically held-out test splits under frozen operational decision thresholds θ_audit*.</w:t>
      </w:r>
    </w:p>
    <w:p>
      <w:pPr>
        <w:keepNext/>
        <w:spacing w:before="120" w:after="40"/>
        <w:jc w:val="center"/>
      </w:pPr>
      <w:r>
        <w:drawing>
          <wp:inline xmlns:a="http://schemas.openxmlformats.org/drawingml/2006/main" xmlns:pic="http://schemas.openxmlformats.org/drawingml/2006/picture">
            <wp:extent cx="5852160" cy="1762810"/>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5852160" cy="1762810"/>
                    </a:xfrm>
                    <a:prstGeom prst="rect"/>
                  </pic:spPr>
                </pic:pic>
              </a:graphicData>
            </a:graphic>
          </wp:inline>
        </w:drawing>
      </w:r>
    </w:p>
    <w:p>
      <w:pPr>
        <w:spacing w:before="40" w:after="160"/>
        <w:jc w:val="both"/>
      </w:pPr>
      <w:r>
        <w:rPr>
          <w:rFonts w:ascii="Calibri" w:hAnsi="Calibri"/>
          <w:i/>
          <w:color w:val="2D3748"/>
          <w:sz w:val="17"/>
        </w:rPr>
        <w:t>Fig. 7: Visual 2x2 confusion contingency matrices for the proposed TGN-XGBoost model evaluated on held-out test splits under frozen operational decision thresholds θ_audit* across: (left) Dataset 1 (BankSim), (middle) Dataset 2 (IBM AML), and (right) Dataset 3 (SAP Würzburg General Ledger). Each cell displays the quadrant designation (TN, FP, FN, TP), exact instance count, and percentage share of the test split.</w:t>
      </w:r>
    </w:p>
    <w:p>
      <w:pPr>
        <w:spacing w:after="80" w:line="276" w:lineRule="auto"/>
        <w:jc w:val="both"/>
      </w:pPr>
      <w:r>
        <w:rPr>
          <w:rFonts w:ascii="Calibri" w:hAnsi="Calibri"/>
          <w:i w:val="0"/>
          <w:color w:val="2D3748"/>
          <w:sz w:val="20"/>
        </w:rPr>
        <w:t>Confusion Matrix Findings &amp; Analysis Across Benchmark Datasets:</w:t>
      </w:r>
    </w:p>
    <w:p>
      <w:pPr>
        <w:pStyle w:val="ListBullet"/>
        <w:spacing w:after="60" w:line="276" w:lineRule="auto"/>
        <w:jc w:val="both"/>
      </w:pPr>
      <w:r>
        <w:rPr>
          <w:rFonts w:ascii="Calibri" w:hAnsi="Calibri"/>
          <w:b/>
          <w:color w:val="2D3748"/>
          <w:sz w:val="20"/>
        </w:rPr>
        <w:t xml:space="preserve">Dataset 1 (BankSim): </w:t>
      </w:r>
      <w:r>
        <w:rPr>
          <w:rFonts w:ascii="Calibri" w:hAnsi="Calibri"/>
          <w:color w:val="2D3748"/>
          <w:sz w:val="20"/>
        </w:rPr>
        <w:t>Evaluated at θ_audit* = 0.534 on N = 122,278 transactions. The model achieves 120,809 True Negatives (98.80% of all instances) and 1,084 True Positives (0.89%), maintaining an ultra-low False Positive rate with only 149 legitimate payments flagged (0.12%) against 236 False Negatives (0.19%), yielding an operational Precision of 87.92% and Recall of 82.12% (F1 = 0.8492, PR-AUC = 0.9364).</w:t>
      </w:r>
    </w:p>
    <w:p>
      <w:pPr>
        <w:pStyle w:val="ListBullet"/>
        <w:spacing w:after="60" w:line="276" w:lineRule="auto"/>
        <w:jc w:val="both"/>
      </w:pPr>
      <w:r>
        <w:rPr>
          <w:rFonts w:ascii="Calibri" w:hAnsi="Calibri"/>
          <w:b/>
          <w:color w:val="2D3748"/>
          <w:sz w:val="20"/>
        </w:rPr>
        <w:t xml:space="preserve">Dataset 2 (IBM AML): </w:t>
      </w:r>
      <w:r>
        <w:rPr>
          <w:rFonts w:ascii="Calibri" w:hAnsi="Calibri"/>
          <w:color w:val="2D3748"/>
          <w:sz w:val="20"/>
        </w:rPr>
        <w:t>Evaluated at θ_audit* = 0.490 on N = 266,199 multi-hop transactions. The structural amount-derived recurrence allows TGN-XGBoost to cleanly isolate laundering topologies, yielding 265,822 True Negatives (99.86%) and 377 True Positives (0.14%) with zero False Positives (0.00%) and zero False Negatives (0.00%), achieving perfect discrimination (F1 = 1.0000, PR-AUC = 1.0000).</w:t>
      </w:r>
    </w:p>
    <w:p>
      <w:pPr>
        <w:pStyle w:val="ListBullet"/>
        <w:spacing w:after="60" w:line="276" w:lineRule="auto"/>
        <w:jc w:val="both"/>
      </w:pPr>
      <w:r>
        <w:rPr>
          <w:rFonts w:ascii="Calibri" w:hAnsi="Calibri"/>
          <w:b/>
          <w:color w:val="2D3748"/>
          <w:sz w:val="20"/>
        </w:rPr>
        <w:t xml:space="preserve">Dataset 3 (SAP Würzburg General Ledger): </w:t>
      </w:r>
      <w:r>
        <w:rPr>
          <w:rFonts w:ascii="Calibri" w:hAnsi="Calibri"/>
          <w:color w:val="2D3748"/>
          <w:sz w:val="20"/>
        </w:rPr>
        <w:t>Evaluated at θ_audit* = 0.215 on N = 40,139 accounting postings under extreme class imbalance (only 25 true anomalous journal entries, or 0.062% incidence). The model correctly captures 40,062 True Negatives (99.81%) and identifies 8 high-risk True Positives (0.02%) while restricting False Positives to 52 clearing hub postings (0.13%) and 17 False Negatives (0.04%), yielding Precision = 13.33%, Recall = 32.00%, and PR-AUC = 0.1557 (over 126x random baseline).</w:t>
      </w:r>
    </w:p>
    <w:p>
      <w:pPr>
        <w:keepNext/>
        <w:spacing w:before="120" w:after="40"/>
      </w:pPr>
      <w:r>
        <w:rPr>
          <w:rFonts w:ascii="Calibri" w:hAnsi="Calibri"/>
          <w:b/>
          <w:color w:val="2D3748"/>
          <w:sz w:val="20"/>
        </w:rPr>
        <w:t>b. Table</w:t>
      </w:r>
    </w:p>
    <w:p>
      <w:pPr>
        <w:spacing w:after="80" w:line="276" w:lineRule="auto"/>
        <w:jc w:val="both"/>
      </w:pPr>
      <w:r>
        <w:rPr>
          <w:rFonts w:ascii="Calibri" w:hAnsi="Calibri"/>
          <w:i w:val="0"/>
          <w:color w:val="2D3748"/>
          <w:sz w:val="20"/>
        </w:rPr>
        <w:t>Table 8 provides a granular, class-wise performance breakdown (Class 0: Legitimate vs. Class 1: Fraudulent) across all three benchmark datasets.</w:t>
      </w:r>
    </w:p>
    <w:p>
      <w:pPr>
        <w:keepNext/>
        <w:spacing w:before="160" w:after="40"/>
      </w:pPr>
      <w:r>
        <w:rPr>
          <w:rFonts w:ascii="Calibri" w:hAnsi="Calibri"/>
          <w:b/>
          <w:color w:val="1B365D"/>
          <w:sz w:val="19"/>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21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w:t>
            </w:r>
          </w:p>
        </w:tc>
        <w:tc>
          <w:tcPr>
            <w:tcW w:type="dxa" w:w="187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Class Label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Support</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0.9984</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120,958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0.8792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0.8212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0.8492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1,320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0.9386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0.9238</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0.9987</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40,114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0.1333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0.3200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25</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0.5665</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0.6594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0.5937</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0.9986</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60" w:after="40"/>
      </w:pPr>
      <w:r>
        <w:rPr>
          <w:rFonts w:ascii="Calibri" w:hAnsi="Calibri"/>
          <w:b/>
          <w:color w:val="2B6CB0"/>
          <w:sz w:val="22"/>
        </w:rPr>
        <w:t>vi. Explainable results</w:t>
      </w:r>
    </w:p>
    <w:p>
      <w:pPr>
        <w:spacing w:after="80" w:line="276" w:lineRule="auto"/>
        <w:jc w:val="both"/>
      </w:pPr>
      <w:r>
        <w:rPr>
          <w:rFonts w:ascii="Calibri" w:hAnsi="Calibri"/>
          <w:i w:val="0"/>
          <w:color w:val="2D3748"/>
          <w:sz w:val="20"/>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5852160" cy="341376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5852160" cy="341376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20"/>
        </w:rPr>
        <w:t>Dataset 1 (BankSim) Attribution</w:t>
      </w:r>
    </w:p>
    <w:p>
      <w:pPr>
        <w:spacing w:after="80" w:line="276" w:lineRule="auto"/>
        <w:jc w:val="both"/>
      </w:pPr>
      <w:r>
        <w:rPr>
          <w:rFonts w:ascii="Calibri" w:hAnsi="Calibri"/>
          <w:i w:val="0"/>
          <w:color w:val="2D3748"/>
          <w:sz w:val="20"/>
        </w:rPr>
        <w:t>In BankSim, predicted fraud risk is driven by short-term degree bursts and transaction amount scale:</w:t>
      </w:r>
    </w:p>
    <w:p>
      <w:pPr>
        <w:pStyle w:val="ListBullet"/>
        <w:spacing w:after="60" w:line="276" w:lineRule="auto"/>
        <w:jc w:val="both"/>
      </w:pPr>
      <w:r>
        <w:rPr>
          <w:rFonts w:ascii="Calibri" w:hAnsi="Calibri"/>
          <w:b/>
          <w:color w:val="2D3748"/>
          <w:sz w:val="20"/>
        </w:rPr>
        <w:t xml:space="preserve">1. dest_in_degree (+0.5199 gain share): </w:t>
      </w:r>
      <w:r>
        <w:rPr>
          <w:rFonts w:ascii="Calibri" w:hAnsi="Calibri"/>
          <w:color w:val="2D3748"/>
          <w:sz w:val="20"/>
        </w:rPr>
        <w:t>Sudden surge in transaction volume directed into a specific merchant.</w:t>
      </w:r>
    </w:p>
    <w:p>
      <w:pPr>
        <w:pStyle w:val="ListBullet"/>
        <w:spacing w:after="60" w:line="276" w:lineRule="auto"/>
        <w:jc w:val="both"/>
      </w:pPr>
      <w:r>
        <w:rPr>
          <w:rFonts w:ascii="Calibri" w:hAnsi="Calibri"/>
          <w:b/>
          <w:color w:val="2D3748"/>
          <w:sz w:val="20"/>
        </w:rPr>
        <w:t xml:space="preserve">2. fan_in (+0.0908 gain share): </w:t>
      </w:r>
      <w:r>
        <w:rPr>
          <w:rFonts w:ascii="Calibri" w:hAnsi="Calibri"/>
          <w:color w:val="2D3748"/>
          <w:sz w:val="20"/>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20"/>
        </w:rPr>
        <w:t xml:space="preserve">3. log_amount (+0.43 mean |SHAP|): </w:t>
      </w:r>
      <w:r>
        <w:rPr>
          <w:rFonts w:ascii="Calibri" w:hAnsi="Calibri"/>
          <w:color w:val="2D3748"/>
          <w:sz w:val="20"/>
        </w:rPr>
        <w:t>Statistically elevated monetary amounts exceeding customer historical baselines.</w:t>
      </w:r>
    </w:p>
    <w:p>
      <w:pPr>
        <w:pStyle w:val="ListBullet"/>
        <w:spacing w:after="60" w:line="276" w:lineRule="auto"/>
        <w:jc w:val="both"/>
      </w:pPr>
      <w:r>
        <w:rPr>
          <w:rFonts w:ascii="Calibri" w:hAnsi="Calibri"/>
          <w:b/>
          <w:color w:val="2D3748"/>
          <w:sz w:val="20"/>
        </w:rPr>
        <w:t xml:space="preserve">4. tgn_s2 / tgn_d14 (+0.08 mean |SHAP|): </w:t>
      </w:r>
      <w:r>
        <w:rPr>
          <w:rFonts w:ascii="Calibri" w:hAnsi="Calibri"/>
          <w:color w:val="2D3748"/>
          <w:sz w:val="20"/>
        </w:rPr>
        <w:t>Latent dynamic interaction states capturing counterparty velocity shifts.</w:t>
      </w:r>
    </w:p>
    <w:p>
      <w:pPr>
        <w:keepNext/>
        <w:spacing w:before="120" w:after="40"/>
      </w:pPr>
      <w:r>
        <w:rPr>
          <w:rFonts w:ascii="Calibri" w:hAnsi="Calibri"/>
          <w:b/>
          <w:color w:val="2D3748"/>
          <w:sz w:val="20"/>
        </w:rPr>
        <w:t>Dataset 2 (IBM AML) Attribution</w:t>
      </w:r>
    </w:p>
    <w:p>
      <w:pPr>
        <w:spacing w:after="80" w:line="276" w:lineRule="auto"/>
        <w:jc w:val="both"/>
      </w:pPr>
      <w:r>
        <w:rPr>
          <w:rFonts w:ascii="Calibri" w:hAnsi="Calibri"/>
          <w:i w:val="0"/>
          <w:color w:val="2D3748"/>
          <w:sz w:val="20"/>
        </w:rPr>
        <w:t>In IBM AML, amount-derived lapping features account for 96% of tree decisions:</w:t>
      </w:r>
    </w:p>
    <w:p>
      <w:pPr>
        <w:pStyle w:val="ListBullet"/>
        <w:spacing w:after="60" w:line="276" w:lineRule="auto"/>
        <w:jc w:val="both"/>
      </w:pPr>
      <w:r>
        <w:rPr>
          <w:rFonts w:ascii="Calibri" w:hAnsi="Calibri"/>
          <w:b/>
          <w:color w:val="2D3748"/>
          <w:sz w:val="20"/>
        </w:rPr>
        <w:t xml:space="preserve">1. lap_out_recur (+0.5397 gain share): </w:t>
      </w:r>
      <w:r>
        <w:rPr>
          <w:rFonts w:ascii="Calibri" w:hAnsi="Calibri"/>
          <w:color w:val="2D3748"/>
          <w:sz w:val="20"/>
        </w:rPr>
        <w:t>Systematic recurrence of identical transaction amounts sent across counterparties.</w:t>
      </w:r>
    </w:p>
    <w:p>
      <w:pPr>
        <w:pStyle w:val="ListBullet"/>
        <w:spacing w:after="60" w:line="276" w:lineRule="auto"/>
        <w:jc w:val="both"/>
      </w:pPr>
      <w:r>
        <w:rPr>
          <w:rFonts w:ascii="Calibri" w:hAnsi="Calibri"/>
          <w:b/>
          <w:color w:val="2D3748"/>
          <w:sz w:val="20"/>
        </w:rPr>
        <w:t xml:space="preserve">2. lap_out_payees (+0.4200 gain share): </w:t>
      </w:r>
      <w:r>
        <w:rPr>
          <w:rFonts w:ascii="Calibri" w:hAnsi="Calibri"/>
          <w:color w:val="2D3748"/>
          <w:sz w:val="20"/>
        </w:rPr>
        <w:t>Fan-out structuring (smurfing) across multiple destination mules.</w:t>
      </w:r>
    </w:p>
    <w:p>
      <w:pPr>
        <w:pStyle w:val="ListBullet"/>
        <w:spacing w:after="60" w:line="276" w:lineRule="auto"/>
        <w:jc w:val="both"/>
      </w:pPr>
      <w:r>
        <w:rPr>
          <w:rFonts w:ascii="Calibri" w:hAnsi="Calibri"/>
          <w:b/>
          <w:color w:val="2D3748"/>
          <w:sz w:val="20"/>
        </w:rPr>
        <w:t xml:space="preserve">3. time_since_prev_src: </w:t>
      </w:r>
      <w:r>
        <w:rPr>
          <w:rFonts w:ascii="Calibri" w:hAnsi="Calibri"/>
          <w:color w:val="2D3748"/>
          <w:sz w:val="20"/>
        </w:rPr>
        <w:t>High-frequency transaction bursts violating typical business payment intervals.</w:t>
      </w:r>
    </w:p>
    <w:p>
      <w:pPr>
        <w:keepNext/>
        <w:spacing w:before="120" w:after="40"/>
      </w:pPr>
      <w:r>
        <w:rPr>
          <w:rFonts w:ascii="Calibri" w:hAnsi="Calibri"/>
          <w:b/>
          <w:color w:val="2D3748"/>
          <w:sz w:val="20"/>
        </w:rPr>
        <w:t>Dataset 3 (SAP Würzburg) Attribution</w:t>
      </w:r>
    </w:p>
    <w:p>
      <w:pPr>
        <w:spacing w:after="80" w:line="276" w:lineRule="auto"/>
        <w:jc w:val="both"/>
      </w:pPr>
      <w:r>
        <w:rPr>
          <w:rFonts w:ascii="Calibri" w:hAnsi="Calibri"/>
          <w:i w:val="0"/>
          <w:color w:val="2D3748"/>
          <w:sz w:val="20"/>
        </w:rPr>
        <w:t>In SAP Würzburg, relational accounting document types and ledger classifications govern risk:</w:t>
      </w:r>
    </w:p>
    <w:p>
      <w:pPr>
        <w:pStyle w:val="ListBullet"/>
        <w:spacing w:after="60" w:line="276" w:lineRule="auto"/>
        <w:jc w:val="both"/>
      </w:pPr>
      <w:r>
        <w:rPr>
          <w:rFonts w:ascii="Calibri" w:hAnsi="Calibri"/>
          <w:b/>
          <w:color w:val="2D3748"/>
          <w:sz w:val="20"/>
        </w:rPr>
        <w:t xml:space="preserve">1. tx_type_Materialzugang (SHAP +1.16): </w:t>
      </w:r>
      <w:r>
        <w:rPr>
          <w:rFonts w:ascii="Calibri" w:hAnsi="Calibri"/>
          <w:color w:val="2D3748"/>
          <w:sz w:val="20"/>
        </w:rPr>
        <w:t>High-risk goods receipt postings without matching purchase orders.</w:t>
      </w:r>
    </w:p>
    <w:p>
      <w:pPr>
        <w:pStyle w:val="ListBullet"/>
        <w:spacing w:after="60" w:line="276" w:lineRule="auto"/>
        <w:jc w:val="both"/>
      </w:pPr>
      <w:r>
        <w:rPr>
          <w:rFonts w:ascii="Calibri" w:hAnsi="Calibri"/>
          <w:b/>
          <w:color w:val="2D3748"/>
          <w:sz w:val="20"/>
        </w:rPr>
        <w:t xml:space="preserve">2. account_type_D (SHAP +0.48): </w:t>
      </w:r>
      <w:r>
        <w:rPr>
          <w:rFonts w:ascii="Calibri" w:hAnsi="Calibri"/>
          <w:color w:val="2D3748"/>
          <w:sz w:val="20"/>
        </w:rPr>
        <w:t>Direct vendor/customer balance sheet line postings bypassing automated subledgers.</w:t>
      </w:r>
    </w:p>
    <w:p>
      <w:pPr>
        <w:pStyle w:val="ListBullet"/>
        <w:spacing w:after="60" w:line="276" w:lineRule="auto"/>
        <w:jc w:val="both"/>
      </w:pPr>
      <w:r>
        <w:rPr>
          <w:rFonts w:ascii="Calibri" w:hAnsi="Calibri"/>
          <w:b/>
          <w:color w:val="2D3748"/>
          <w:sz w:val="20"/>
        </w:rPr>
        <w:t xml:space="preserve">3. fan_in (SHAP +0.30): </w:t>
      </w:r>
      <w:r>
        <w:rPr>
          <w:rFonts w:ascii="Calibri" w:hAnsi="Calibri"/>
          <w:color w:val="2D3748"/>
          <w:sz w:val="20"/>
        </w:rPr>
        <w:t>Mass settlement accounts aggregating anomalous general ledger vouchers.</w:t>
      </w:r>
    </w:p>
    <w:p>
      <w:pPr>
        <w:keepNext/>
        <w:spacing w:before="240" w:after="60"/>
      </w:pPr>
      <w:r>
        <w:rPr>
          <w:rFonts w:ascii="Calibri" w:hAnsi="Calibri"/>
          <w:b/>
          <w:color w:val="1B365D"/>
          <w:sz w:val="25"/>
        </w:rPr>
        <w:t>5. Production System Verification and Enterprise Audit Console</w:t>
      </w:r>
    </w:p>
    <w:p>
      <w:pPr>
        <w:spacing w:after="80" w:line="276" w:lineRule="auto"/>
        <w:jc w:val="both"/>
      </w:pPr>
      <w:r>
        <w:rPr>
          <w:rFonts w:ascii="Calibri" w:hAnsi="Calibri"/>
          <w:i w:val="0"/>
          <w:color w:val="2D3748"/>
          <w:sz w:val="20"/>
        </w:rPr>
        <w:t>To evaluate operational deployability, we integrated the TGN-XGBoost model into a continuous Procure-to-Pay (P2P) ERP enterprise simulation with an interactive visual audit console (Fig. 9).</w:t>
      </w:r>
    </w:p>
    <w:p>
      <w:pPr>
        <w:keepNext/>
        <w:spacing w:before="120" w:after="40"/>
        <w:jc w:val="center"/>
      </w:pPr>
      <w:r>
        <w:drawing>
          <wp:inline xmlns:a="http://schemas.openxmlformats.org/drawingml/2006/main" xmlns:pic="http://schemas.openxmlformats.org/drawingml/2006/picture">
            <wp:extent cx="5852160" cy="3601329"/>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852160" cy="3601329"/>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20"/>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5852160" cy="3043123"/>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5852160" cy="3043123"/>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20"/>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5"/>
        </w:rPr>
        <w:t>6. Conclusion</w:t>
      </w:r>
    </w:p>
    <w:p>
      <w:pPr>
        <w:spacing w:after="80" w:line="276" w:lineRule="auto"/>
        <w:jc w:val="both"/>
      </w:pPr>
      <w:r>
        <w:rPr>
          <w:rFonts w:ascii="Calibri" w:hAnsi="Calibri"/>
          <w:i w:val="0"/>
          <w:color w:val="2D3748"/>
          <w:sz w:val="20"/>
        </w:rPr>
        <w:t>This paper presented the Hybrid TGN-XGBoost model: a leakage-free temporal graph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hybrid model bridges the gap between dynamic graph representation learning and continuous forensic auditing.</w:t>
      </w:r>
    </w:p>
    <w:p>
      <w:pPr>
        <w:keepNext/>
        <w:spacing w:before="240" w:after="60"/>
      </w:pPr>
      <w:r>
        <w:rPr>
          <w:rFonts w:ascii="Calibri" w:hAnsi="Calibri"/>
          <w:b/>
          <w:color w:val="1B365D"/>
          <w:sz w:val="25"/>
        </w:rPr>
        <w:t>References</w:t>
      </w:r>
    </w:p>
    <w:p>
      <w:pPr>
        <w:spacing w:after="40" w:line="276" w:lineRule="auto"/>
        <w:ind w:left="360"/>
        <w:jc w:val="both"/>
      </w:pPr>
      <w:r>
        <w:rPr>
          <w:rFonts w:ascii="Calibri" w:hAnsi="Calibri"/>
          <w:color w:val="2D3748"/>
          <w:sz w:val="19"/>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9"/>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9"/>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9"/>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9"/>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9"/>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9"/>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9"/>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9"/>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9"/>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9"/>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9"/>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9"/>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9"/>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9"/>
        </w:rPr>
        <w:t>[15] T. Li, A. K. Sahu, M. Zahir, M. Sanjabi, A. Talwalkar, and V. Smith, "Federated optimization in heterogeneous networks," in Proc. MLSys, 2020, pp. 429–450.</w:t>
      </w:r>
    </w:p>
    <w:p>
      <w:pPr>
        <w:spacing w:after="40" w:line="276" w:lineRule="auto"/>
        <w:ind w:left="360"/>
        <w:jc w:val="both"/>
      </w:pPr>
      <w:r>
        <w:rPr>
          <w:rFonts w:ascii="Calibri" w:hAnsi="Calibri"/>
          <w:color w:val="2D3748"/>
          <w:sz w:val="19"/>
        </w:rPr>
        <w:t>[16] S. P. Karimireddy, S. Kale, M. Mohri, S. Reddi, S. Stich, and A. T. Suresh, "SCAFFOLD: Stochastic controlled averaging for federated learning," in Proc. Int. Conf. Mach. Learn. (ICML), 2020, pp. 5132–5143.</w:t>
      </w:r>
    </w:p>
    <w:p>
      <w:pPr>
        <w:spacing w:after="40" w:line="276" w:lineRule="auto"/>
        <w:ind w:left="360"/>
        <w:jc w:val="both"/>
      </w:pPr>
      <w:r>
        <w:rPr>
          <w:rFonts w:ascii="Calibri" w:hAnsi="Calibri"/>
          <w:color w:val="2D3748"/>
          <w:sz w:val="19"/>
        </w:rPr>
        <w:t>[17] T.-Y. Lin, P. Goyal, R. Girshick, K. He, and P. Dollár, "Focal loss for dense object detection," in Proc. IEEE Int. Conf. Comput. Vis. (ICCV), 2017, pp. 2980–2988.</w:t>
      </w:r>
    </w:p>
    <w:p>
      <w:pPr>
        <w:spacing w:after="40" w:line="276" w:lineRule="auto"/>
        <w:ind w:left="360"/>
        <w:jc w:val="both"/>
      </w:pPr>
      <w:r>
        <w:rPr>
          <w:rFonts w:ascii="Calibri" w:hAnsi="Calibri"/>
          <w:color w:val="2D3748"/>
          <w:sz w:val="19"/>
        </w:rPr>
        <w:t>[18] S. M. Lundberg, G. Erion, H. Chen, A. DeGrave, J. M. Prutkin, B. Nair, R. Katz, P. C. Himmelfarb, N. Bansal, and S.-I. Lee, "From local explanations to global understanding with explainable AI for trees," Nature Machine Intelligence, vol. 2, no. 1, pp. 56–67, 2020.</w:t>
      </w:r>
    </w:p>
    <w:p>
      <w:pPr>
        <w:spacing w:after="40" w:line="276" w:lineRule="auto"/>
        <w:ind w:left="360"/>
        <w:jc w:val="both"/>
      </w:pPr>
      <w:r>
        <w:rPr>
          <w:rFonts w:ascii="Calibri" w:hAnsi="Calibri"/>
          <w:color w:val="2D3748"/>
          <w:sz w:val="19"/>
        </w:rPr>
        <w:t>[19] T. Chen and C. Guestrin, "XGBoost: A scalable tree boosting system," in Proc. ACM SIGKDD Int. Conf. Knowl. Discov. Data Min., 2016, pp. 785–794.</w:t>
      </w:r>
    </w:p>
    <w:p>
      <w:pPr>
        <w:spacing w:after="40" w:line="276" w:lineRule="auto"/>
        <w:ind w:left="360"/>
        <w:jc w:val="both"/>
      </w:pPr>
      <w:r>
        <w:rPr>
          <w:rFonts w:ascii="Calibri" w:hAnsi="Calibri"/>
          <w:color w:val="2D3748"/>
          <w:sz w:val="19"/>
        </w:rPr>
        <w:t>[20] B. P. Welford, "Note on a method for calculating corrected sums of squares and products," Technometrics, vol. 4, no. 3, pp. 419–420, 1962.</w:t>
      </w:r>
    </w:p>
    <w:sectPr w:rsidR="00FC693F" w:rsidRPr="0006063C" w:rsidSect="00034616">
      <w:headerReference w:type="default" r:id="rId9"/>
      <w:footerReference w:type="default" r:id="rId10"/>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Leakage-Free Temporal Graph Topology: A Hybrid TGN-XGBoost Model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