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FFBB" w14:textId="77777777" w:rsidR="00FE7EE6" w:rsidRPr="00E2799C" w:rsidRDefault="00FE7EE6" w:rsidP="00FE7EE6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2799C">
        <w:rPr>
          <w:rFonts w:ascii="Times New Roman" w:hAnsi="Times New Roman" w:cs="Times New Roman"/>
          <w:b/>
          <w:bCs/>
          <w:sz w:val="22"/>
          <w:szCs w:val="22"/>
        </w:rPr>
        <w:t>Distance and Dissimilarity Measures</w:t>
      </w:r>
    </w:p>
    <w:tbl>
      <w:tblPr>
        <w:tblStyle w:val="TableGrid"/>
        <w:tblW w:w="1304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1080"/>
        <w:gridCol w:w="3060"/>
        <w:gridCol w:w="4860"/>
      </w:tblGrid>
      <w:tr w:rsidR="00FE7EE6" w:rsidRPr="007B4165" w14:paraId="3E4F7972" w14:textId="77777777" w:rsidTr="00852820">
        <w:tc>
          <w:tcPr>
            <w:tcW w:w="1705" w:type="dxa"/>
          </w:tcPr>
          <w:p w14:paraId="760A4A20" w14:textId="77777777" w:rsidR="00FE7EE6" w:rsidRPr="006325E2" w:rsidRDefault="00FE7EE6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03CA9960" w14:textId="77777777" w:rsidR="00FE7EE6" w:rsidRPr="006325E2" w:rsidRDefault="00FE7EE6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Formula</w:t>
            </w:r>
          </w:p>
        </w:tc>
        <w:tc>
          <w:tcPr>
            <w:tcW w:w="1080" w:type="dxa"/>
          </w:tcPr>
          <w:p w14:paraId="0E6AB326" w14:textId="77777777" w:rsidR="00FE7EE6" w:rsidRPr="006325E2" w:rsidRDefault="00FE7EE6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Values</w:t>
            </w:r>
          </w:p>
        </w:tc>
        <w:tc>
          <w:tcPr>
            <w:tcW w:w="3060" w:type="dxa"/>
          </w:tcPr>
          <w:p w14:paraId="2E675FEB" w14:textId="77777777" w:rsidR="00FE7EE6" w:rsidRPr="006325E2" w:rsidRDefault="00FE7EE6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</w:tcPr>
          <w:p w14:paraId="4ED78D2B" w14:textId="77777777" w:rsidR="00FE7EE6" w:rsidRPr="006325E2" w:rsidRDefault="00FE7EE6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Notes</w:t>
            </w:r>
          </w:p>
        </w:tc>
      </w:tr>
      <w:tr w:rsidR="00FE7EE6" w:rsidRPr="007B4165" w14:paraId="63908555" w14:textId="77777777" w:rsidTr="00852820">
        <w:tc>
          <w:tcPr>
            <w:tcW w:w="1705" w:type="dxa"/>
            <w:vAlign w:val="center"/>
          </w:tcPr>
          <w:p w14:paraId="09F2E78E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Bray-</w:t>
            </w:r>
            <w:proofErr w:type="gramStart"/>
            <w:r w:rsidRPr="00E2799C">
              <w:rPr>
                <w:rFonts w:ascii="Helvetica" w:hAnsi="Helvetica"/>
                <w:sz w:val="16"/>
                <w:szCs w:val="16"/>
              </w:rPr>
              <w:t>Curtis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d</w:t>
            </w:r>
            <w:r w:rsidRPr="00E2799C">
              <w:rPr>
                <w:rFonts w:ascii="Helvetica" w:hAnsi="Helvetica"/>
                <w:sz w:val="16"/>
                <w:szCs w:val="16"/>
              </w:rPr>
              <w:t>issimilarity</w:t>
            </w:r>
          </w:p>
        </w:tc>
        <w:tc>
          <w:tcPr>
            <w:tcW w:w="2340" w:type="dxa"/>
            <w:vAlign w:val="center"/>
          </w:tcPr>
          <w:p w14:paraId="46A9DD98" w14:textId="77777777" w:rsidR="00FE7EE6" w:rsidRPr="00E2799C" w:rsidRDefault="00FE7EE6" w:rsidP="00852820">
            <w:pPr>
              <w:spacing w:line="360" w:lineRule="auto"/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1-2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e>
                    </m:nary>
                  </m:den>
                </m:f>
              </m:oMath>
            </m:oMathPara>
          </w:p>
          <w:p w14:paraId="7DA6F418" w14:textId="77777777" w:rsidR="00FE7EE6" w:rsidRPr="00E2799C" w:rsidRDefault="00FE7EE6" w:rsidP="00852820">
            <w:pPr>
              <w:spacing w:line="360" w:lineRule="auto"/>
              <w:jc w:val="center"/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Also written as:</w:t>
            </w:r>
          </w:p>
          <w:p w14:paraId="08EF41CC" w14:textId="77777777" w:rsidR="00FE7EE6" w:rsidRPr="00E2799C" w:rsidRDefault="001D5BEA" w:rsidP="00852820">
            <w:pPr>
              <w:spacing w:line="360" w:lineRule="auto"/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5DBBD300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  <w:r w:rsidRPr="00E2799C">
              <w:rPr>
                <w:rFonts w:ascii="Helvetica" w:hAnsi="Helvetica"/>
                <w:i/>
                <w:sz w:val="16"/>
                <w:szCs w:val="16"/>
              </w:rPr>
              <w:br/>
            </w:r>
          </w:p>
        </w:tc>
        <w:tc>
          <w:tcPr>
            <w:tcW w:w="3060" w:type="dxa"/>
            <w:vAlign w:val="center"/>
          </w:tcPr>
          <w:p w14:paraId="099A8111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For each species in common, sum the minimum abundance over total abundances in both samples.</w:t>
            </w:r>
          </w:p>
        </w:tc>
        <w:tc>
          <w:tcPr>
            <w:tcW w:w="4860" w:type="dxa"/>
            <w:vAlign w:val="center"/>
          </w:tcPr>
          <w:p w14:paraId="07562965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Bounded between 0 and 1.</w:t>
            </w:r>
            <w:r w:rsidRPr="007A7A06">
              <w:rPr>
                <w:rFonts w:ascii="Helvetica" w:hAnsi="Helvetica"/>
                <w:sz w:val="16"/>
                <w:szCs w:val="16"/>
              </w:rPr>
              <w:br/>
              <w:t>Quantitatively related to the Canberra distance and Sørensen and Kulczynski dissimilarity indices.</w:t>
            </w:r>
            <w:r w:rsidRPr="007A7A06">
              <w:rPr>
                <w:rFonts w:ascii="Helvetica" w:hAnsi="Helvetica"/>
                <w:sz w:val="16"/>
                <w:szCs w:val="16"/>
              </w:rPr>
              <w:br/>
              <w:t>Emphasizes species in common.</w:t>
            </w:r>
          </w:p>
          <w:p w14:paraId="0F7EAE5C" w14:textId="77777777" w:rsidR="00FE7EE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Not sensitive to large values or outlier values.</w:t>
            </w:r>
          </w:p>
          <w:p w14:paraId="09F3A869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Could also use an unweighted generalization of Bray-Curtis.</w:t>
            </w:r>
          </w:p>
        </w:tc>
      </w:tr>
      <w:tr w:rsidR="00FE7EE6" w:rsidRPr="007B4165" w14:paraId="086B8B40" w14:textId="77777777" w:rsidTr="00852820">
        <w:tc>
          <w:tcPr>
            <w:tcW w:w="1705" w:type="dxa"/>
            <w:vAlign w:val="center"/>
          </w:tcPr>
          <w:p w14:paraId="3A57E8C5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Kulczynski dissimilarity</w:t>
            </w:r>
          </w:p>
        </w:tc>
        <w:tc>
          <w:tcPr>
            <w:tcW w:w="2340" w:type="dxa"/>
            <w:vAlign w:val="center"/>
          </w:tcPr>
          <w:p w14:paraId="59898DB4" w14:textId="77777777" w:rsidR="00FE7EE6" w:rsidRPr="00E2799C" w:rsidRDefault="001D5BEA" w:rsidP="00852820">
            <w:pPr>
              <w:jc w:val="center"/>
              <w:rPr>
                <w:rFonts w:ascii="Helvetica" w:eastAsia="Times New Roman" w:hAnsi="Helvetica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i=1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e>
                </m:nary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0D0E1ED1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71C0E508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For each species in common, sum the minimum over each sample total abundance.</w:t>
            </w:r>
          </w:p>
        </w:tc>
        <w:tc>
          <w:tcPr>
            <w:tcW w:w="4860" w:type="dxa"/>
            <w:vAlign w:val="center"/>
          </w:tcPr>
          <w:p w14:paraId="101F4B16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Bounded between 0 and 1.</w:t>
            </w:r>
          </w:p>
          <w:p w14:paraId="1B90431E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Could also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use an unweighted generalization of Kulczynski.</w:t>
            </w:r>
          </w:p>
        </w:tc>
      </w:tr>
      <w:tr w:rsidR="00FE7EE6" w:rsidRPr="007B4165" w14:paraId="3FAB51FC" w14:textId="77777777" w:rsidTr="00852820">
        <w:tc>
          <w:tcPr>
            <w:tcW w:w="1705" w:type="dxa"/>
            <w:vAlign w:val="center"/>
          </w:tcPr>
          <w:p w14:paraId="20C9D651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Manhattan distance</w:t>
            </w:r>
          </w:p>
        </w:tc>
        <w:tc>
          <w:tcPr>
            <w:tcW w:w="2340" w:type="dxa"/>
            <w:vAlign w:val="center"/>
          </w:tcPr>
          <w:p w14:paraId="7A2FA083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e>
                </m:nary>
              </m:oMath>
            </m:oMathPara>
          </w:p>
          <w:p w14:paraId="102DBF8C" w14:textId="77777777" w:rsidR="00FE7EE6" w:rsidRPr="00E2799C" w:rsidRDefault="00FE7EE6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61A1E5F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730C0B69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Sum of the lengths of n perpendicular line segments connecting two points in n-dimensional space.</w:t>
            </w:r>
          </w:p>
        </w:tc>
        <w:tc>
          <w:tcPr>
            <w:tcW w:w="4860" w:type="dxa"/>
            <w:vAlign w:val="center"/>
          </w:tcPr>
          <w:p w14:paraId="301EA060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Non-squared version of Euclidean distance, making it less susceptible to outlier species and/or samples.</w:t>
            </w:r>
          </w:p>
          <w:p w14:paraId="21FB45A3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Manhattan, Kulczynski, and Bray-Curtis are functionally equivalent with standardization.</w:t>
            </w:r>
          </w:p>
        </w:tc>
      </w:tr>
      <w:tr w:rsidR="00FE7EE6" w:rsidRPr="007B4165" w14:paraId="783501C8" w14:textId="77777777" w:rsidTr="00852820">
        <w:tc>
          <w:tcPr>
            <w:tcW w:w="1705" w:type="dxa"/>
            <w:vAlign w:val="center"/>
          </w:tcPr>
          <w:p w14:paraId="2A750D3C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Cosine dissimilarity</w:t>
            </w:r>
          </w:p>
        </w:tc>
        <w:tc>
          <w:tcPr>
            <w:tcW w:w="2340" w:type="dxa"/>
            <w:vAlign w:val="center"/>
          </w:tcPr>
          <w:p w14:paraId="678984B8" w14:textId="1CDECCF3" w:rsidR="00FE7EE6" w:rsidRPr="00E2799C" w:rsidRDefault="00C62A28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-1 *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⋅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num>
                  <m:den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||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||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×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||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||</m:t>
                    </m: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21B58374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4B80AF3D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Measures the angle between two points from the origin of the n-dimensional feature (OTU/taxa) space.</w:t>
            </w:r>
          </w:p>
        </w:tc>
        <w:tc>
          <w:tcPr>
            <w:tcW w:w="4860" w:type="dxa"/>
            <w:vAlign w:val="center"/>
          </w:tcPr>
          <w:p w14:paraId="22CF968C" w14:textId="3165E92C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Bounded from</w:t>
            </w:r>
            <w:r w:rsidR="00C62A28">
              <w:rPr>
                <w:rFonts w:ascii="Helvetica" w:hAnsi="Helvetica"/>
                <w:sz w:val="16"/>
                <w:szCs w:val="16"/>
              </w:rPr>
              <w:t xml:space="preserve"> -1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to 1, such that subtracting the cosine dissimilarity from 1 yields the cosine similarity measure.</w:t>
            </w:r>
          </w:p>
          <w:p w14:paraId="10CF351B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Popular measure in ML applications such as data mining.</w:t>
            </w:r>
          </w:p>
        </w:tc>
      </w:tr>
      <w:tr w:rsidR="00FE7EE6" w:rsidRPr="007B4165" w14:paraId="76091CBD" w14:textId="77777777" w:rsidTr="00852820">
        <w:tc>
          <w:tcPr>
            <w:tcW w:w="1705" w:type="dxa"/>
            <w:vAlign w:val="center"/>
          </w:tcPr>
          <w:p w14:paraId="24923F9B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Jaccard dissimilarity</w:t>
            </w:r>
          </w:p>
        </w:tc>
        <w:tc>
          <w:tcPr>
            <w:tcW w:w="2340" w:type="dxa"/>
            <w:vAlign w:val="center"/>
          </w:tcPr>
          <w:p w14:paraId="199EF128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a∩b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a∪b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019648D4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unweighted</w:t>
            </w:r>
          </w:p>
        </w:tc>
        <w:tc>
          <w:tcPr>
            <w:tcW w:w="3060" w:type="dxa"/>
            <w:vAlign w:val="center"/>
          </w:tcPr>
          <w:p w14:paraId="7D749074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Measures overlap of two communities by the ratio of shared species over all species found.</w:t>
            </w:r>
          </w:p>
        </w:tc>
        <w:tc>
          <w:tcPr>
            <w:tcW w:w="4860" w:type="dxa"/>
            <w:vAlign w:val="center"/>
          </w:tcPr>
          <w:p w14:paraId="7BD6AF1E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Bounded between 0 and 1.</w:t>
            </w:r>
            <w:r w:rsidRPr="007A7A06">
              <w:rPr>
                <w:rFonts w:ascii="Helvetica" w:hAnsi="Helvetica"/>
                <w:sz w:val="16"/>
                <w:szCs w:val="16"/>
              </w:rPr>
              <w:br/>
            </w:r>
            <w:r>
              <w:rPr>
                <w:rFonts w:ascii="Helvetica" w:hAnsi="Helvetica"/>
                <w:sz w:val="16"/>
                <w:szCs w:val="16"/>
              </w:rPr>
              <w:t>Can be likened to an unweighted Bray-Curtis dissimilarity.</w:t>
            </w:r>
          </w:p>
        </w:tc>
      </w:tr>
      <w:tr w:rsidR="00FE7EE6" w:rsidRPr="007B4165" w14:paraId="45769CFF" w14:textId="77777777" w:rsidTr="00852820">
        <w:tc>
          <w:tcPr>
            <w:tcW w:w="1705" w:type="dxa"/>
            <w:vAlign w:val="center"/>
          </w:tcPr>
          <w:p w14:paraId="56A06ED4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Unweighted UniFrac distance</w:t>
            </w:r>
          </w:p>
        </w:tc>
        <w:tc>
          <w:tcPr>
            <w:tcW w:w="2340" w:type="dxa"/>
            <w:vAlign w:val="center"/>
          </w:tcPr>
          <w:p w14:paraId="63C891B5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208AACAA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unweighted</w:t>
            </w:r>
          </w:p>
        </w:tc>
        <w:tc>
          <w:tcPr>
            <w:tcW w:w="3060" w:type="dxa"/>
            <w:vAlign w:val="center"/>
          </w:tcPr>
          <w:p w14:paraId="030EBC6B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Measures the amount of shared evolutionary history between two communities.</w:t>
            </w:r>
          </w:p>
        </w:tc>
        <w:tc>
          <w:tcPr>
            <w:tcW w:w="4860" w:type="dxa"/>
            <w:vAlign w:val="center"/>
          </w:tcPr>
          <w:p w14:paraId="675F135C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Estimates relatedness of samples by the phylogenetic relatedness of species found in the samples.</w:t>
            </w:r>
          </w:p>
        </w:tc>
      </w:tr>
      <w:tr w:rsidR="00FE7EE6" w:rsidRPr="007B4165" w14:paraId="72472ED5" w14:textId="77777777" w:rsidTr="00852820">
        <w:tc>
          <w:tcPr>
            <w:tcW w:w="1705" w:type="dxa"/>
            <w:vAlign w:val="center"/>
          </w:tcPr>
          <w:p w14:paraId="7271B4AE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 UniFrac distance</w:t>
            </w:r>
          </w:p>
        </w:tc>
        <w:tc>
          <w:tcPr>
            <w:tcW w:w="2340" w:type="dxa"/>
            <w:vAlign w:val="center"/>
          </w:tcPr>
          <w:p w14:paraId="0F2D7372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14:paraId="5DB2962F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273864A3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Measures the amount of shared evolutionary history weighted by relative abundance of these species in communities.</w:t>
            </w:r>
          </w:p>
        </w:tc>
        <w:tc>
          <w:tcPr>
            <w:tcW w:w="4860" w:type="dxa"/>
            <w:vAlign w:val="center"/>
          </w:tcPr>
          <w:p w14:paraId="397999B5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Assumes samples are provided in terms of relative abundance (rarefied or normalized data).</w:t>
            </w:r>
          </w:p>
          <w:p w14:paraId="090A7C17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proofErr w:type="gramStart"/>
            <w:r w:rsidRPr="007A7A06">
              <w:rPr>
                <w:rFonts w:ascii="Helvetica" w:hAnsi="Helvetica"/>
                <w:sz w:val="16"/>
                <w:szCs w:val="16"/>
              </w:rPr>
              <w:t>Also</w:t>
            </w:r>
            <w:proofErr w:type="gramEnd"/>
            <w:r w:rsidRPr="007A7A06">
              <w:rPr>
                <w:rFonts w:ascii="Helvetica" w:hAnsi="Helvetica"/>
                <w:sz w:val="16"/>
                <w:szCs w:val="16"/>
              </w:rPr>
              <w:t xml:space="preserve"> of note is Generalized UniFrac, deemphasizing more abundant species in the weighted UniFrac formula.</w:t>
            </w:r>
          </w:p>
        </w:tc>
      </w:tr>
      <w:tr w:rsidR="00FE7EE6" w:rsidRPr="007B4165" w14:paraId="1EF09E9C" w14:textId="77777777" w:rsidTr="00852820">
        <w:tc>
          <w:tcPr>
            <w:tcW w:w="1705" w:type="dxa"/>
            <w:vAlign w:val="center"/>
          </w:tcPr>
          <w:p w14:paraId="2FDC8F3A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Euclidean distance</w:t>
            </w:r>
          </w:p>
        </w:tc>
        <w:tc>
          <w:tcPr>
            <w:tcW w:w="2340" w:type="dxa"/>
            <w:vAlign w:val="center"/>
          </w:tcPr>
          <w:p w14:paraId="3B6F62A3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e>
                </m:rad>
              </m:oMath>
            </m:oMathPara>
          </w:p>
        </w:tc>
        <w:tc>
          <w:tcPr>
            <w:tcW w:w="1080" w:type="dxa"/>
            <w:vAlign w:val="center"/>
          </w:tcPr>
          <w:p w14:paraId="3B27D464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020BDD9E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Geometric distance between two points in n-dimensional space.</w:t>
            </w:r>
          </w:p>
        </w:tc>
        <w:tc>
          <w:tcPr>
            <w:tcW w:w="4860" w:type="dxa"/>
            <w:vAlign w:val="center"/>
          </w:tcPr>
          <w:p w14:paraId="1C41AF59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Sensitive to outliers (Supp Fig 1), squared term heavily penalizes large distances.</w:t>
            </w:r>
          </w:p>
        </w:tc>
      </w:tr>
      <w:tr w:rsidR="00FE7EE6" w:rsidRPr="007B4165" w14:paraId="327864BE" w14:textId="77777777" w:rsidTr="00852820">
        <w:tc>
          <w:tcPr>
            <w:tcW w:w="1705" w:type="dxa"/>
            <w:vAlign w:val="center"/>
          </w:tcPr>
          <w:p w14:paraId="100196C6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Aitchison distance</w:t>
            </w:r>
          </w:p>
        </w:tc>
        <w:tc>
          <w:tcPr>
            <w:tcW w:w="2340" w:type="dxa"/>
            <w:vAlign w:val="center"/>
          </w:tcPr>
          <w:p w14:paraId="2801E413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e>
                </m:rad>
              </m:oMath>
            </m:oMathPara>
          </w:p>
          <w:p w14:paraId="6B9784F1" w14:textId="77777777" w:rsidR="00FE7EE6" w:rsidRPr="00E2799C" w:rsidRDefault="00FE7EE6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*CLR-transformed data</w:t>
            </w:r>
          </w:p>
        </w:tc>
        <w:tc>
          <w:tcPr>
            <w:tcW w:w="1080" w:type="dxa"/>
            <w:vAlign w:val="center"/>
          </w:tcPr>
          <w:p w14:paraId="2ED3FBCD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156FB0D5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Euclidean distance of CLR-transformed data.</w:t>
            </w:r>
          </w:p>
        </w:tc>
        <w:tc>
          <w:tcPr>
            <w:tcW w:w="4860" w:type="dxa"/>
            <w:vAlign w:val="center"/>
          </w:tcPr>
          <w:p w14:paraId="78DF882F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 xml:space="preserve">Aitchison and robust Aitchison differ in their attention to the non-zero values of the community matrix. </w:t>
            </w:r>
            <w:r w:rsidRPr="007A7A06">
              <w:rPr>
                <w:rFonts w:ascii="Helvetica" w:hAnsi="Helvetica"/>
                <w:b/>
                <w:bCs/>
                <w:sz w:val="16"/>
                <w:szCs w:val="16"/>
              </w:rPr>
              <w:t>Robust Aitchison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uses a robust form of CLR and later robust PCA to approximate the geometric mean without the zero values (missing species) and ordinate based on the non-zero values using matrix completion.</w:t>
            </w:r>
          </w:p>
        </w:tc>
      </w:tr>
      <w:tr w:rsidR="00FE7EE6" w:rsidRPr="007B4165" w14:paraId="3CAE1E1D" w14:textId="77777777" w:rsidTr="00852820">
        <w:tc>
          <w:tcPr>
            <w:tcW w:w="1705" w:type="dxa"/>
            <w:vAlign w:val="center"/>
          </w:tcPr>
          <w:p w14:paraId="4FBD95A1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Chi-Squared distance</w:t>
            </w:r>
          </w:p>
        </w:tc>
        <w:tc>
          <w:tcPr>
            <w:tcW w:w="2340" w:type="dxa"/>
            <w:vAlign w:val="center"/>
          </w:tcPr>
          <w:p w14:paraId="37221BB4" w14:textId="77777777" w:rsidR="00FE7EE6" w:rsidRPr="00E2799C" w:rsidRDefault="001D5BEA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e>
                    </m:nary>
                  </m:e>
                </m:rad>
              </m:oMath>
            </m:oMathPara>
          </w:p>
          <w:p w14:paraId="328D968B" w14:textId="77777777" w:rsidR="00FE7EE6" w:rsidRPr="00E2799C" w:rsidRDefault="00FE7EE6" w:rsidP="008528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*Chi-Sq-transformed data</w:t>
            </w:r>
          </w:p>
        </w:tc>
        <w:tc>
          <w:tcPr>
            <w:tcW w:w="1080" w:type="dxa"/>
            <w:vAlign w:val="center"/>
          </w:tcPr>
          <w:p w14:paraId="7CD51747" w14:textId="77777777" w:rsidR="00FE7EE6" w:rsidRPr="00E2799C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E2799C">
              <w:rPr>
                <w:rFonts w:ascii="Helvetica" w:hAnsi="Helvetica"/>
                <w:sz w:val="16"/>
                <w:szCs w:val="16"/>
              </w:rPr>
              <w:t>weighted</w:t>
            </w:r>
          </w:p>
        </w:tc>
        <w:tc>
          <w:tcPr>
            <w:tcW w:w="3060" w:type="dxa"/>
            <w:vAlign w:val="center"/>
          </w:tcPr>
          <w:p w14:paraId="15EAF542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Euclidean distance between Chi-square transformed communities.</w:t>
            </w:r>
          </w:p>
        </w:tc>
        <w:tc>
          <w:tcPr>
            <w:tcW w:w="4860" w:type="dxa"/>
            <w:vAlign w:val="center"/>
          </w:tcPr>
          <w:p w14:paraId="71CF9F31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 w:rsidRPr="007A7A06">
              <w:rPr>
                <w:rFonts w:ascii="Helvetica" w:hAnsi="Helvetica"/>
                <w:sz w:val="16"/>
                <w:szCs w:val="16"/>
              </w:rPr>
              <w:t>Sensitive to outliers in individual species.</w:t>
            </w:r>
          </w:p>
          <w:p w14:paraId="451B202C" w14:textId="77777777" w:rsidR="00FE7EE6" w:rsidRPr="007A7A06" w:rsidRDefault="00FE7EE6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This description is based on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the vegan package (R)</w:t>
            </w:r>
            <w:r>
              <w:rPr>
                <w:rFonts w:ascii="Helvetica" w:hAnsi="Helvetica"/>
                <w:sz w:val="16"/>
                <w:szCs w:val="16"/>
              </w:rPr>
              <w:t xml:space="preserve"> implementation, and one should note that all distances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will change with the addition of </w:t>
            </w:r>
            <w:r>
              <w:rPr>
                <w:rFonts w:ascii="Helvetica" w:hAnsi="Helvetica"/>
                <w:sz w:val="16"/>
                <w:szCs w:val="16"/>
              </w:rPr>
              <w:t>new</w:t>
            </w:r>
            <w:r w:rsidRPr="007A7A06">
              <w:rPr>
                <w:rFonts w:ascii="Helvetica" w:hAnsi="Helvetica"/>
                <w:sz w:val="16"/>
                <w:szCs w:val="16"/>
              </w:rPr>
              <w:t xml:space="preserve"> samples.</w:t>
            </w:r>
            <w:r>
              <w:rPr>
                <w:rFonts w:ascii="Helvetica" w:hAnsi="Helvetica"/>
                <w:sz w:val="16"/>
                <w:szCs w:val="16"/>
              </w:rPr>
              <w:t xml:space="preserve"> Python implementations may differ from this approach.</w:t>
            </w:r>
          </w:p>
        </w:tc>
      </w:tr>
    </w:tbl>
    <w:p w14:paraId="7EC6081C" w14:textId="49D1F753" w:rsidR="00FE7EE6" w:rsidRPr="00C94A0E" w:rsidRDefault="00FE7EE6" w:rsidP="00FE7EE6">
      <w:pPr>
        <w:rPr>
          <w:rFonts w:ascii="Times New Roman" w:eastAsiaTheme="minorHAnsi" w:hAnsi="Times New Roman" w:cs="Times New Roman"/>
          <w:sz w:val="22"/>
          <w:szCs w:val="22"/>
        </w:rPr>
      </w:pPr>
      <w:r w:rsidRPr="00C94A0E">
        <w:rPr>
          <w:rFonts w:ascii="Times New Roman" w:eastAsiaTheme="minorHAnsi" w:hAnsi="Times New Roman" w:cs="Times New Roman"/>
          <w:b/>
          <w:bCs/>
          <w:sz w:val="22"/>
          <w:szCs w:val="22"/>
        </w:rPr>
        <w:t xml:space="preserve">Table 1. </w:t>
      </w:r>
      <w:r w:rsidRPr="00C94A0E">
        <w:rPr>
          <w:rFonts w:ascii="Times New Roman" w:eastAsiaTheme="minorHAnsi" w:hAnsi="Times New Roman" w:cs="Times New Roman"/>
          <w:sz w:val="22"/>
          <w:szCs w:val="22"/>
        </w:rPr>
        <w:t xml:space="preserve">An overview of popular distance metrics and dissimilarity measures, including the defined mathematical functions and a </w:t>
      </w:r>
      <w:r w:rsidR="001D5BEA">
        <w:rPr>
          <w:rFonts w:ascii="Times New Roman" w:eastAsiaTheme="minorHAnsi" w:hAnsi="Times New Roman" w:cs="Times New Roman"/>
          <w:sz w:val="22"/>
          <w:szCs w:val="22"/>
        </w:rPr>
        <w:t xml:space="preserve">written </w:t>
      </w:r>
      <w:r w:rsidRPr="00C94A0E">
        <w:rPr>
          <w:rFonts w:ascii="Times New Roman" w:eastAsiaTheme="minorHAnsi" w:hAnsi="Times New Roman" w:cs="Times New Roman"/>
          <w:sz w:val="22"/>
          <w:szCs w:val="22"/>
        </w:rPr>
        <w:t>description of the functions. Symbols in the functions are defined as follows. A, B: values of taxa for samples A and B respectively; a, b: unweighted, presence/absence values for samples A and B respectively</w:t>
      </w:r>
      <w:r w:rsidRPr="004F304B">
        <w:rPr>
          <w:rFonts w:ascii="Times New Roman" w:eastAsiaTheme="minorHAnsi" w:hAnsi="Times New Roman" w:cs="Times New Roman"/>
          <w:sz w:val="22"/>
          <w:szCs w:val="22"/>
        </w:rPr>
        <w:t xml:space="preserve">, N: number of taxa in the dataset; </w:t>
      </w:r>
      <w:r w:rsidRPr="004F304B">
        <w:rPr>
          <w:rFonts w:ascii="Times New Roman" w:eastAsiaTheme="minorHAnsi" w:hAnsi="Times New Roman" w:cs="Times New Roman"/>
          <w:i/>
          <w:iCs/>
          <w:sz w:val="22"/>
          <w:szCs w:val="22"/>
        </w:rPr>
        <w:t>l</w:t>
      </w:r>
      <w:r w:rsidRPr="004F304B">
        <w:rPr>
          <w:rFonts w:ascii="Times New Roman" w:eastAsiaTheme="minorHAnsi" w:hAnsi="Times New Roman" w:cs="Times New Roman"/>
          <w:sz w:val="22"/>
          <w:szCs w:val="22"/>
        </w:rPr>
        <w:t>: branch lengths for UniFrac.</w:t>
      </w:r>
    </w:p>
    <w:p w14:paraId="55F5889D" w14:textId="77777777" w:rsidR="00182A87" w:rsidRPr="0078555D" w:rsidRDefault="00182A87" w:rsidP="00182A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Visualization Methods</w:t>
      </w:r>
    </w:p>
    <w:tbl>
      <w:tblPr>
        <w:tblStyle w:val="TableGrid"/>
        <w:tblW w:w="12685" w:type="dxa"/>
        <w:tblLayout w:type="fixed"/>
        <w:tblLook w:val="04A0" w:firstRow="1" w:lastRow="0" w:firstColumn="1" w:lastColumn="0" w:noHBand="0" w:noVBand="1"/>
      </w:tblPr>
      <w:tblGrid>
        <w:gridCol w:w="2785"/>
        <w:gridCol w:w="3780"/>
        <w:gridCol w:w="2520"/>
        <w:gridCol w:w="3600"/>
      </w:tblGrid>
      <w:tr w:rsidR="00182A87" w:rsidRPr="007B4165" w14:paraId="1C9C1CCF" w14:textId="77777777" w:rsidTr="00852820">
        <w:tc>
          <w:tcPr>
            <w:tcW w:w="2785" w:type="dxa"/>
          </w:tcPr>
          <w:p w14:paraId="4786D277" w14:textId="77777777" w:rsidR="00182A87" w:rsidRPr="006325E2" w:rsidRDefault="00182A87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780" w:type="dxa"/>
          </w:tcPr>
          <w:p w14:paraId="1A44FA7F" w14:textId="77777777" w:rsidR="00182A87" w:rsidRPr="006325E2" w:rsidRDefault="00182A87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Algorithm Description</w:t>
            </w:r>
          </w:p>
        </w:tc>
        <w:tc>
          <w:tcPr>
            <w:tcW w:w="2520" w:type="dxa"/>
          </w:tcPr>
          <w:p w14:paraId="634A96C0" w14:textId="77777777" w:rsidR="00182A87" w:rsidRPr="006325E2" w:rsidRDefault="00182A87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3600" w:type="dxa"/>
          </w:tcPr>
          <w:p w14:paraId="3F8641EE" w14:textId="77777777" w:rsidR="00182A87" w:rsidRPr="006325E2" w:rsidRDefault="00182A87" w:rsidP="00852820">
            <w:pPr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6325E2">
              <w:rPr>
                <w:rFonts w:ascii="Helvetica" w:hAnsi="Helvetica"/>
                <w:b/>
                <w:bCs/>
                <w:sz w:val="20"/>
                <w:szCs w:val="20"/>
              </w:rPr>
              <w:t>Notes</w:t>
            </w:r>
          </w:p>
        </w:tc>
      </w:tr>
      <w:tr w:rsidR="00182A87" w:rsidRPr="007B4165" w14:paraId="5953D1FB" w14:textId="77777777" w:rsidTr="00852820">
        <w:tc>
          <w:tcPr>
            <w:tcW w:w="2785" w:type="dxa"/>
            <w:vAlign w:val="center"/>
          </w:tcPr>
          <w:p w14:paraId="2C09E068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Principal Coordinates Analysis (PCoA)</w:t>
            </w:r>
          </w:p>
        </w:tc>
        <w:tc>
          <w:tcPr>
            <w:tcW w:w="3780" w:type="dxa"/>
            <w:vAlign w:val="center"/>
          </w:tcPr>
          <w:p w14:paraId="11F2B9E5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Eigen decomposition of the pairwise sample dissimilarity/distance matrix.</w:t>
            </w:r>
          </w:p>
          <w:p w14:paraId="27D23DF1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Order</w:t>
            </w:r>
            <w:r>
              <w:rPr>
                <w:rFonts w:ascii="Helvetica" w:hAnsi="Helvetica"/>
                <w:sz w:val="16"/>
                <w:szCs w:val="16"/>
              </w:rPr>
              <w:t>s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 the eigenvectors by decreasing eigenvalues, so that the most inter-sample variation is described by the first dimension and least variation in the last dimension.</w:t>
            </w:r>
          </w:p>
        </w:tc>
        <w:tc>
          <w:tcPr>
            <w:tcW w:w="2520" w:type="dxa"/>
            <w:vAlign w:val="center"/>
          </w:tcPr>
          <w:p w14:paraId="479EFF6C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PCoA assumes linear combinations of pairwise distances, due to the nature of eigen decomposition.</w:t>
            </w:r>
          </w:p>
        </w:tc>
        <w:tc>
          <w:tcPr>
            <w:tcW w:w="3600" w:type="dxa"/>
            <w:vAlign w:val="center"/>
          </w:tcPr>
          <w:p w14:paraId="39B9A6E7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PCoA and PCA (Principal components analysis) are equivalent when PCoA is performed on Euclidean distances.</w:t>
            </w:r>
          </w:p>
          <w:p w14:paraId="2244CF80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PCoA and CA are equivalent when PCoA is performed on Chi-sq distances.</w:t>
            </w:r>
          </w:p>
          <w:p w14:paraId="44D92456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PCoA is a form of Multidimensional Scaling (MDS).</w:t>
            </w:r>
          </w:p>
        </w:tc>
      </w:tr>
      <w:tr w:rsidR="00182A87" w:rsidRPr="007B4165" w14:paraId="017F11C8" w14:textId="77777777" w:rsidTr="00852820">
        <w:tc>
          <w:tcPr>
            <w:tcW w:w="2785" w:type="dxa"/>
            <w:vAlign w:val="center"/>
          </w:tcPr>
          <w:p w14:paraId="7FAB62BF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Non-metric Multidimensional Scaling (NMDS)</w:t>
            </w:r>
          </w:p>
        </w:tc>
        <w:tc>
          <w:tcPr>
            <w:tcW w:w="3780" w:type="dxa"/>
            <w:vAlign w:val="center"/>
          </w:tcPr>
          <w:p w14:paraId="6CF82E0C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Converts dissimilarity/distance matrix into ranks of dissimilarity.</w:t>
            </w:r>
          </w:p>
          <w:p w14:paraId="080B7B86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Iteratively construct</w:t>
            </w:r>
            <w:r>
              <w:rPr>
                <w:rFonts w:ascii="Helvetica" w:hAnsi="Helvetica"/>
                <w:sz w:val="16"/>
                <w:szCs w:val="16"/>
              </w:rPr>
              <w:t>s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 configurations of all samples in </w:t>
            </w:r>
            <w:r w:rsidRPr="007233C5">
              <w:rPr>
                <w:rFonts w:ascii="Helvetica" w:hAnsi="Helvetica"/>
                <w:i/>
                <w:iCs/>
                <w:sz w:val="16"/>
                <w:szCs w:val="16"/>
              </w:rPr>
              <w:t>m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 dimensions (specified by user), reshuffling until the stress (difference between the dissimilarity rank and the configured dissimilarity) is minimized.</w:t>
            </w:r>
          </w:p>
        </w:tc>
        <w:tc>
          <w:tcPr>
            <w:tcW w:w="2520" w:type="dxa"/>
            <w:vAlign w:val="center"/>
          </w:tcPr>
          <w:p w14:paraId="3B8E6C37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Sample relationships can be adequately represented in a few dimensions.</w:t>
            </w:r>
          </w:p>
        </w:tc>
        <w:tc>
          <w:tcPr>
            <w:tcW w:w="3600" w:type="dxa"/>
            <w:vAlign w:val="center"/>
          </w:tcPr>
          <w:p w14:paraId="61DA5E15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NMDS is not very easily reproducible, may change on re-analysis due to the iterative algorithm.</w:t>
            </w:r>
          </w:p>
          <w:p w14:paraId="11583F3F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 xml:space="preserve">Since NMDS converts distances to ranks, it </w:t>
            </w:r>
            <w:r>
              <w:rPr>
                <w:rFonts w:ascii="Helvetica" w:hAnsi="Helvetica"/>
                <w:sz w:val="16"/>
                <w:szCs w:val="16"/>
              </w:rPr>
              <w:t xml:space="preserve">is robust to non-linearity and </w:t>
            </w:r>
            <w:r w:rsidRPr="007233C5">
              <w:rPr>
                <w:rFonts w:ascii="Helvetica" w:hAnsi="Helvetica"/>
                <w:sz w:val="16"/>
                <w:szCs w:val="16"/>
              </w:rPr>
              <w:t>may be less sensitive to outliers</w:t>
            </w:r>
            <w:r>
              <w:rPr>
                <w:rFonts w:ascii="Helvetica" w:hAnsi="Helvetica"/>
                <w:sz w:val="16"/>
                <w:szCs w:val="16"/>
              </w:rPr>
              <w:t>.</w:t>
            </w:r>
          </w:p>
        </w:tc>
      </w:tr>
      <w:tr w:rsidR="00182A87" w:rsidRPr="007B4165" w14:paraId="13A9E75B" w14:textId="77777777" w:rsidTr="00852820">
        <w:tc>
          <w:tcPr>
            <w:tcW w:w="2785" w:type="dxa"/>
            <w:vAlign w:val="center"/>
          </w:tcPr>
          <w:p w14:paraId="02D9DA7C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t-distributed Stochastic Neighbor Embedding (t-SNE)</w:t>
            </w:r>
          </w:p>
        </w:tc>
        <w:tc>
          <w:tcPr>
            <w:tcW w:w="3780" w:type="dxa"/>
            <w:vAlign w:val="center"/>
          </w:tcPr>
          <w:p w14:paraId="7A9F7CB2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Obtain</w:t>
            </w:r>
            <w:r>
              <w:rPr>
                <w:rFonts w:ascii="Helvetica" w:hAnsi="Helvetica"/>
                <w:sz w:val="16"/>
                <w:szCs w:val="16"/>
              </w:rPr>
              <w:t>s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 probabilities of each sample according to the t-distribution of </w:t>
            </w:r>
            <w:r>
              <w:rPr>
                <w:rFonts w:ascii="Helvetica" w:hAnsi="Helvetica"/>
                <w:sz w:val="16"/>
                <w:szCs w:val="16"/>
              </w:rPr>
              <w:t xml:space="preserve">other 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samples </w:t>
            </w:r>
            <w:r>
              <w:rPr>
                <w:rFonts w:ascii="Helvetica" w:hAnsi="Helvetica"/>
                <w:sz w:val="16"/>
                <w:szCs w:val="16"/>
              </w:rPr>
              <w:t>around it.</w:t>
            </w:r>
          </w:p>
          <w:p w14:paraId="537FA019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Using these probabilities, gradient descent is used to place the points in the reduced </w:t>
            </w:r>
            <w:r>
              <w:rPr>
                <w:rFonts w:ascii="Helvetica" w:hAnsi="Helvetica"/>
                <w:i/>
                <w:iCs/>
                <w:sz w:val="16"/>
                <w:szCs w:val="16"/>
              </w:rPr>
              <w:t>m-</w:t>
            </w:r>
            <w:r>
              <w:rPr>
                <w:rFonts w:ascii="Helvetica" w:hAnsi="Helvetica"/>
                <w:sz w:val="16"/>
                <w:szCs w:val="16"/>
              </w:rPr>
              <w:t>dimensional space (usually 2-3 dimensions), using Kullback-Leibler (KL divergence) as the cost function between probabilities.</w:t>
            </w:r>
          </w:p>
        </w:tc>
        <w:tc>
          <w:tcPr>
            <w:tcW w:w="2520" w:type="dxa"/>
            <w:vAlign w:val="center"/>
          </w:tcPr>
          <w:p w14:paraId="622DD218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Assumes an underlying manifold, a flexible plane over which the data falls. Trusts local relationships to approximate global trends.</w:t>
            </w:r>
          </w:p>
        </w:tc>
        <w:tc>
          <w:tcPr>
            <w:tcW w:w="3600" w:type="dxa"/>
            <w:vAlign w:val="center"/>
          </w:tcPr>
          <w:p w14:paraId="12E1DBF5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Manifold learning is best suited to uncovering gradients, due to manifold assumption.</w:t>
            </w:r>
          </w:p>
          <w:p w14:paraId="7DBFF56E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 xml:space="preserve">t-SNE may reveal true group clusters but </w:t>
            </w:r>
            <w:r>
              <w:rPr>
                <w:rFonts w:ascii="Helvetica" w:hAnsi="Helvetica"/>
                <w:sz w:val="16"/>
                <w:szCs w:val="16"/>
              </w:rPr>
              <w:t xml:space="preserve">visually </w:t>
            </w:r>
            <w:r w:rsidRPr="007233C5">
              <w:rPr>
                <w:rFonts w:ascii="Helvetica" w:hAnsi="Helvetica"/>
                <w:sz w:val="16"/>
                <w:szCs w:val="16"/>
              </w:rPr>
              <w:t xml:space="preserve">exaggerate these </w:t>
            </w:r>
            <w:r>
              <w:rPr>
                <w:rFonts w:ascii="Helvetica" w:hAnsi="Helvetica"/>
                <w:sz w:val="16"/>
                <w:szCs w:val="16"/>
              </w:rPr>
              <w:t xml:space="preserve">clusters </w:t>
            </w:r>
            <w:r w:rsidRPr="007233C5">
              <w:rPr>
                <w:rFonts w:ascii="Helvetica" w:hAnsi="Helvetica"/>
                <w:sz w:val="16"/>
                <w:szCs w:val="16"/>
              </w:rPr>
              <w:t>due to the sensitivity to local distances</w:t>
            </w:r>
            <w:r>
              <w:rPr>
                <w:rFonts w:ascii="Helvetica" w:hAnsi="Helvetica"/>
                <w:sz w:val="16"/>
                <w:szCs w:val="16"/>
              </w:rPr>
              <w:t>/dissimilarities.</w:t>
            </w:r>
          </w:p>
          <w:p w14:paraId="48377C57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Perplexity parameter essentially tunes the neighborhood size, changing the degree of locality to trust and thereby changing clusters and/or proximity of clusters.</w:t>
            </w:r>
          </w:p>
        </w:tc>
      </w:tr>
      <w:tr w:rsidR="00182A87" w:rsidRPr="007B4165" w14:paraId="7EBD49E5" w14:textId="77777777" w:rsidTr="00852820">
        <w:tc>
          <w:tcPr>
            <w:tcW w:w="2785" w:type="dxa"/>
            <w:vAlign w:val="center"/>
          </w:tcPr>
          <w:p w14:paraId="781D480D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Correspondence Analysis (CA)</w:t>
            </w:r>
          </w:p>
        </w:tc>
        <w:tc>
          <w:tcPr>
            <w:tcW w:w="3780" w:type="dxa"/>
            <w:vAlign w:val="center"/>
          </w:tcPr>
          <w:p w14:paraId="16620B31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Eigen decomposition performed on Chi-squared transformed distance matrix.</w:t>
            </w:r>
          </w:p>
        </w:tc>
        <w:tc>
          <w:tcPr>
            <w:tcW w:w="2520" w:type="dxa"/>
            <w:vAlign w:val="center"/>
          </w:tcPr>
          <w:p w14:paraId="4A542301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Assumes samples can be represented as differences from expected proportions of taxa given the rest of the table.</w:t>
            </w:r>
          </w:p>
        </w:tc>
        <w:tc>
          <w:tcPr>
            <w:tcW w:w="3600" w:type="dxa"/>
            <w:vAlign w:val="center"/>
          </w:tcPr>
          <w:p w14:paraId="18CFACCA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 maximizes the similarity of taxon frequencies between samples, which may be helpful in studies with categorical variables.</w:t>
            </w:r>
          </w:p>
          <w:p w14:paraId="4E9FF8D4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 has been known to produce the “arch effect” visual artifact.</w:t>
            </w:r>
          </w:p>
          <w:p w14:paraId="72248989" w14:textId="46A3FAB3" w:rsidR="00EF7297" w:rsidRPr="007233C5" w:rsidRDefault="00EF729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Detrended CA uses reciprocal averaging to resolve the “</w:t>
            </w:r>
            <w:r w:rsidR="009865CA">
              <w:rPr>
                <w:rFonts w:ascii="Helvetica" w:hAnsi="Helvetica"/>
                <w:sz w:val="16"/>
                <w:szCs w:val="16"/>
              </w:rPr>
              <w:t>a</w:t>
            </w:r>
            <w:r>
              <w:rPr>
                <w:rFonts w:ascii="Helvetica" w:hAnsi="Helvetica"/>
                <w:sz w:val="16"/>
                <w:szCs w:val="16"/>
              </w:rPr>
              <w:t>rch” or “horseshoe” effect</w:t>
            </w:r>
            <w:r w:rsidR="00613FAF">
              <w:rPr>
                <w:rFonts w:ascii="Helvetica" w:hAnsi="Helvetica"/>
                <w:sz w:val="16"/>
                <w:szCs w:val="16"/>
              </w:rPr>
              <w:t>, but ha</w:t>
            </w:r>
            <w:r w:rsidR="004F55EA">
              <w:rPr>
                <w:rFonts w:ascii="Helvetica" w:hAnsi="Helvetica"/>
                <w:sz w:val="16"/>
                <w:szCs w:val="16"/>
              </w:rPr>
              <w:t>s</w:t>
            </w:r>
            <w:r w:rsidR="00613FAF">
              <w:rPr>
                <w:rFonts w:ascii="Helvetica" w:hAnsi="Helvetica"/>
                <w:sz w:val="16"/>
                <w:szCs w:val="16"/>
              </w:rPr>
              <w:t xml:space="preserve"> been criticized for distorting the data.</w:t>
            </w:r>
          </w:p>
        </w:tc>
      </w:tr>
      <w:tr w:rsidR="00182A87" w:rsidRPr="007B4165" w14:paraId="40C56633" w14:textId="77777777" w:rsidTr="00852820">
        <w:tc>
          <w:tcPr>
            <w:tcW w:w="2785" w:type="dxa"/>
            <w:vAlign w:val="center"/>
          </w:tcPr>
          <w:p w14:paraId="3EC8E395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 w:rsidRPr="007233C5">
              <w:rPr>
                <w:rFonts w:ascii="Helvetica" w:hAnsi="Helvetica"/>
                <w:sz w:val="16"/>
                <w:szCs w:val="16"/>
              </w:rPr>
              <w:t>Constrained Ordination</w:t>
            </w:r>
          </w:p>
        </w:tc>
        <w:tc>
          <w:tcPr>
            <w:tcW w:w="3780" w:type="dxa"/>
            <w:vAlign w:val="center"/>
          </w:tcPr>
          <w:p w14:paraId="3BCF9BAD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Regress the taxa abundances on environmental variables to determine predicted values. Find residuals between true taxa abundances and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environmentally-influenced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predictions.</w:t>
            </w:r>
          </w:p>
          <w:p w14:paraId="26941FCE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Perform PCoA on predicted values and residuals separately to obtain environmental variable and sample ordinations, respectively.</w:t>
            </w:r>
          </w:p>
        </w:tc>
        <w:tc>
          <w:tcPr>
            <w:tcW w:w="2520" w:type="dxa"/>
            <w:vAlign w:val="center"/>
          </w:tcPr>
          <w:p w14:paraId="1B94E127" w14:textId="77777777" w:rsidR="00182A8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Assumes environmental variables and samples can share an ordinal space.</w:t>
            </w:r>
          </w:p>
        </w:tc>
        <w:tc>
          <w:tcPr>
            <w:tcW w:w="3600" w:type="dxa"/>
            <w:vAlign w:val="center"/>
          </w:tcPr>
          <w:p w14:paraId="398E5B4D" w14:textId="77777777" w:rsidR="00182A87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 xml:space="preserve">Redundancy analysis (RDA) is linear and implicitly </w:t>
            </w:r>
            <w:proofErr w:type="gramStart"/>
            <w:r>
              <w:rPr>
                <w:rFonts w:ascii="Helvetica" w:hAnsi="Helvetica"/>
                <w:sz w:val="16"/>
                <w:szCs w:val="16"/>
              </w:rPr>
              <w:t>Euclidean-based</w:t>
            </w:r>
            <w:proofErr w:type="gramEnd"/>
            <w:r>
              <w:rPr>
                <w:rFonts w:ascii="Helvetica" w:hAnsi="Helvetica"/>
                <w:sz w:val="16"/>
                <w:szCs w:val="16"/>
              </w:rPr>
              <w:t xml:space="preserve"> (uses PCA).</w:t>
            </w:r>
          </w:p>
          <w:p w14:paraId="2551736A" w14:textId="5B381D29" w:rsidR="00EF7297" w:rsidRPr="007233C5" w:rsidRDefault="00182A87" w:rsidP="00852820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Canonical Correspond</w:t>
            </w:r>
            <w:r w:rsidR="00165788">
              <w:rPr>
                <w:rFonts w:ascii="Helvetica" w:hAnsi="Helvetica"/>
                <w:sz w:val="16"/>
                <w:szCs w:val="16"/>
              </w:rPr>
              <w:t>en</w:t>
            </w:r>
            <w:r>
              <w:rPr>
                <w:rFonts w:ascii="Helvetica" w:hAnsi="Helvetica"/>
                <w:sz w:val="16"/>
                <w:szCs w:val="16"/>
              </w:rPr>
              <w:t>ce Analysis uses CA in place of PCoA, may also be prone to the “arch.”</w:t>
            </w:r>
          </w:p>
        </w:tc>
      </w:tr>
    </w:tbl>
    <w:p w14:paraId="6FEE914F" w14:textId="77777777" w:rsidR="00182A87" w:rsidRPr="007E4DAE" w:rsidRDefault="00182A87" w:rsidP="00182A8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Table 2.</w:t>
      </w:r>
      <w:r>
        <w:rPr>
          <w:rFonts w:ascii="Times New Roman" w:hAnsi="Times New Roman" w:cs="Times New Roman"/>
          <w:sz w:val="22"/>
          <w:szCs w:val="22"/>
        </w:rPr>
        <w:t xml:space="preserve"> Description of commonly used visualization methods in microbiome studies. Notes on the considerations when using each algorithm.</w:t>
      </w:r>
    </w:p>
    <w:p w14:paraId="2CE968F4" w14:textId="77777777" w:rsidR="00487137" w:rsidRDefault="001D5BEA"/>
    <w:sectPr w:rsidR="00487137" w:rsidSect="00A959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6B"/>
    <w:rsid w:val="00165788"/>
    <w:rsid w:val="00182A87"/>
    <w:rsid w:val="001D5BEA"/>
    <w:rsid w:val="00307BB9"/>
    <w:rsid w:val="004F55EA"/>
    <w:rsid w:val="00613FAF"/>
    <w:rsid w:val="00984F76"/>
    <w:rsid w:val="009865CA"/>
    <w:rsid w:val="00A9596B"/>
    <w:rsid w:val="00BD027C"/>
    <w:rsid w:val="00C62A28"/>
    <w:rsid w:val="00EF7297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9A66A"/>
  <w14:defaultImageDpi w14:val="32767"/>
  <w15:chartTrackingRefBased/>
  <w15:docId w15:val="{F513C509-3CDE-CA45-A562-C99E8C3A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7E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Hoops</dc:creator>
  <cp:keywords/>
  <dc:description/>
  <cp:lastModifiedBy>Susan Hoops</cp:lastModifiedBy>
  <cp:revision>10</cp:revision>
  <dcterms:created xsi:type="dcterms:W3CDTF">2022-08-04T17:44:00Z</dcterms:created>
  <dcterms:modified xsi:type="dcterms:W3CDTF">2022-08-08T19:10:00Z</dcterms:modified>
</cp:coreProperties>
</file>