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0BF7AF" w14:textId="13757674" w:rsidR="00296064" w:rsidRDefault="00296064" w:rsidP="00296064">
      <w:r w:rsidRPr="00296064">
        <w:rPr>
          <w:b/>
        </w:rPr>
        <w:t xml:space="preserve">Data processing. </w:t>
      </w:r>
      <w:r w:rsidR="00EC1E39">
        <w:t>M</w:t>
      </w:r>
      <w:r>
        <w:t xml:space="preserve">arker-gene sequencing data </w:t>
      </w:r>
      <w:r w:rsidR="00EC1E39">
        <w:t xml:space="preserve">was processed </w:t>
      </w:r>
      <w:r>
        <w:t>using the Quantitative Insights Into Microbial Ecology (QIIME) package</w:t>
      </w:r>
      <w:r w:rsidR="00EC1E39">
        <w:t xml:space="preserve"> and mapped to</w:t>
      </w:r>
      <w:r>
        <w:t xml:space="preserve"> 97% operational taxonomic units (OTUs) using the Greengenes reference database and USEARCH. </w:t>
      </w:r>
      <w:r w:rsidR="00EC1E39">
        <w:t>W</w:t>
      </w:r>
      <w:r>
        <w:t xml:space="preserve">ithin-sample biodiversity </w:t>
      </w:r>
      <w:r w:rsidR="00EC1E39">
        <w:t xml:space="preserve">was measured </w:t>
      </w:r>
      <w:r>
        <w:t xml:space="preserve">using whole-tree phylogenetic diversity. To quantify differences in microbial composition between subjects over time, </w:t>
      </w:r>
      <w:proofErr w:type="spellStart"/>
      <w:r>
        <w:t>UniFrac</w:t>
      </w:r>
      <w:proofErr w:type="spellEnd"/>
      <w:r>
        <w:t xml:space="preserve"> distance between all pairs of samples</w:t>
      </w:r>
      <w:r w:rsidR="00EC1E39">
        <w:t xml:space="preserve"> was calculated</w:t>
      </w:r>
      <w:r>
        <w:t xml:space="preserve">. </w:t>
      </w:r>
      <w:r w:rsidR="00EC1E39">
        <w:t>F</w:t>
      </w:r>
      <w:r>
        <w:t xml:space="preserve">unctional repertoire of the microbiome </w:t>
      </w:r>
      <w:r w:rsidR="00EC1E39">
        <w:t xml:space="preserve">was predicted from </w:t>
      </w:r>
      <w:r>
        <w:t>the marker gene sequences using the PICRUSt tool</w:t>
      </w:r>
      <w:r w:rsidR="00EC1E39">
        <w:t>.</w:t>
      </w:r>
    </w:p>
    <w:p w14:paraId="5229EEA2" w14:textId="6C27D3C3" w:rsidR="00296064" w:rsidRDefault="00296064" w:rsidP="00296064">
      <w:proofErr w:type="spellStart"/>
      <w:proofErr w:type="gramStart"/>
      <w:r>
        <w:rPr>
          <w:b/>
        </w:rPr>
        <w:t>Statisical</w:t>
      </w:r>
      <w:proofErr w:type="spellEnd"/>
      <w:r>
        <w:rPr>
          <w:b/>
        </w:rPr>
        <w:t xml:space="preserve"> analysis of differential taxa</w:t>
      </w:r>
      <w:r w:rsidR="00F142A4">
        <w:rPr>
          <w:b/>
        </w:rPr>
        <w:t xml:space="preserve"> by treatment group</w:t>
      </w:r>
      <w:r>
        <w:rPr>
          <w:b/>
        </w:rPr>
        <w:t>.</w:t>
      </w:r>
      <w:proofErr w:type="gramEnd"/>
      <w:r>
        <w:t xml:space="preserve"> </w:t>
      </w:r>
      <w:r w:rsidR="004D7430">
        <w:t>D</w:t>
      </w:r>
      <w:r>
        <w:t>ifferences in microbial biodiversity</w:t>
      </w:r>
      <w:r w:rsidR="004D7430">
        <w:t xml:space="preserve"> between</w:t>
      </w:r>
      <w:r>
        <w:t xml:space="preserve"> both within subjects before and after the dietary intervention, and between subjec</w:t>
      </w:r>
      <w:r w:rsidR="004D7430">
        <w:t xml:space="preserve">ts in the two treatment groups using a </w:t>
      </w:r>
      <w:r>
        <w:t xml:space="preserve">linear </w:t>
      </w:r>
      <w:r w:rsidR="004D7430">
        <w:t xml:space="preserve">model </w:t>
      </w:r>
      <w:r>
        <w:t>in the statistical package R, controlling for age, BMI, and gender. Signi</w:t>
      </w:r>
      <w:r w:rsidR="004D7430">
        <w:t xml:space="preserve">ficance of associations was </w:t>
      </w:r>
      <w:r>
        <w:t>corrected for the total number of comparisons using false discovery rate correction</w:t>
      </w:r>
      <w:r w:rsidR="004D7430">
        <w:t>, where significance is determined by q-values &lt; 0.25</w:t>
      </w:r>
      <w:r>
        <w:t xml:space="preserve">. This analysis </w:t>
      </w:r>
      <w:r w:rsidR="004D7430">
        <w:t>was conducted with</w:t>
      </w:r>
      <w:r>
        <w:t xml:space="preserve"> bacterial taxa </w:t>
      </w:r>
      <w:r w:rsidR="004D7430">
        <w:t>summarized</w:t>
      </w:r>
      <w:r>
        <w:t xml:space="preserve"> at the levels of</w:t>
      </w:r>
      <w:r w:rsidR="004D7430">
        <w:t xml:space="preserve"> genus and</w:t>
      </w:r>
      <w:r>
        <w:t xml:space="preserve"> phylum</w:t>
      </w:r>
      <w:r w:rsidR="004D7430">
        <w:t xml:space="preserve">, and was conducted with relative abundances of taxa at both </w:t>
      </w:r>
      <w:proofErr w:type="spellStart"/>
      <w:r w:rsidR="004D7430">
        <w:t>timepoints</w:t>
      </w:r>
      <w:proofErr w:type="spellEnd"/>
      <w:r w:rsidR="004D7430">
        <w:t xml:space="preserve"> individually, as well as with the change in relative abundance of each taxon.</w:t>
      </w:r>
    </w:p>
    <w:p w14:paraId="2DB49292" w14:textId="34F0B3BC" w:rsidR="00296064" w:rsidRDefault="00296064" w:rsidP="00296064">
      <w:proofErr w:type="gramStart"/>
      <w:r>
        <w:rPr>
          <w:b/>
        </w:rPr>
        <w:t>Comparison of beta</w:t>
      </w:r>
      <w:r w:rsidRPr="00296064">
        <w:rPr>
          <w:b/>
        </w:rPr>
        <w:t>-diversity</w:t>
      </w:r>
      <w:r>
        <w:rPr>
          <w:b/>
        </w:rPr>
        <w:t xml:space="preserve"> between groups</w:t>
      </w:r>
      <w:r w:rsidRPr="00296064">
        <w:rPr>
          <w:b/>
        </w:rPr>
        <w:t>.</w:t>
      </w:r>
      <w:proofErr w:type="gramEnd"/>
      <w:r>
        <w:t xml:space="preserve"> </w:t>
      </w:r>
      <w:r w:rsidR="004D7430">
        <w:t>W</w:t>
      </w:r>
      <w:r>
        <w:t>eighted and unweighted UniFrac measures of between-sample ecological variation</w:t>
      </w:r>
      <w:r w:rsidR="004D7430">
        <w:t xml:space="preserve"> was used</w:t>
      </w:r>
      <w:r>
        <w:t xml:space="preserve"> to test the hypothesis that subjects are more similar to other subjects within the same treatment group. This test w</w:t>
      </w:r>
      <w:r w:rsidR="004D7430">
        <w:t>as</w:t>
      </w:r>
      <w:r>
        <w:t xml:space="preserve"> performed using the Adonis function in the </w:t>
      </w:r>
      <w:r>
        <w:rPr>
          <w:i/>
        </w:rPr>
        <w:t>vegan</w:t>
      </w:r>
      <w:r>
        <w:t xml:space="preserve"> package in </w:t>
      </w:r>
      <w:r>
        <w:rPr>
          <w:i/>
        </w:rPr>
        <w:t>R</w:t>
      </w:r>
      <w:r>
        <w:t xml:space="preserve">, similar to the PERMANOVA analysis. </w:t>
      </w:r>
    </w:p>
    <w:p w14:paraId="0367BD17" w14:textId="5BC27E7F" w:rsidR="00296064" w:rsidRPr="00296064" w:rsidRDefault="00296064" w:rsidP="00296064">
      <w:proofErr w:type="gramStart"/>
      <w:r>
        <w:rPr>
          <w:b/>
        </w:rPr>
        <w:t>Comparison of alpha-diversity between groups.</w:t>
      </w:r>
      <w:proofErr w:type="gramEnd"/>
      <w:r>
        <w:rPr>
          <w:b/>
        </w:rPr>
        <w:t xml:space="preserve"> </w:t>
      </w:r>
      <w:r>
        <w:t xml:space="preserve"> </w:t>
      </w:r>
      <w:proofErr w:type="gramStart"/>
      <w:r w:rsidR="004D7430">
        <w:t>A</w:t>
      </w:r>
      <w:r>
        <w:t xml:space="preserve"> two-tailed test of differentiation of within-sample biodiversity or alpha diversity, as measured by whole-tree phylogenetic diversity, between treatment groups.</w:t>
      </w:r>
      <w:proofErr w:type="gramEnd"/>
      <w:r>
        <w:t xml:space="preserve"> </w:t>
      </w:r>
      <w:r w:rsidR="001958BF">
        <w:t>S</w:t>
      </w:r>
      <w:r w:rsidR="00F142A4">
        <w:t>equences from all samples</w:t>
      </w:r>
      <w:r w:rsidR="001958BF">
        <w:t xml:space="preserve"> were subsampled</w:t>
      </w:r>
      <w:r w:rsidR="00F142A4">
        <w:t xml:space="preserve"> at the sample sequencing depth </w:t>
      </w:r>
      <w:r w:rsidR="001958BF">
        <w:t xml:space="preserve">of 19,490 sequences </w:t>
      </w:r>
      <w:r w:rsidR="00F142A4">
        <w:t xml:space="preserve">to control for differential sequencing effort. Alpha diversity values </w:t>
      </w:r>
      <w:proofErr w:type="gramStart"/>
      <w:r w:rsidR="00F142A4">
        <w:t>w</w:t>
      </w:r>
      <w:r w:rsidR="001958BF">
        <w:t>ere verified to be normally distributed</w:t>
      </w:r>
      <w:proofErr w:type="gramEnd"/>
      <w:r w:rsidR="001958BF">
        <w:t xml:space="preserve"> by a Shapiro-</w:t>
      </w:r>
      <w:proofErr w:type="spellStart"/>
      <w:r w:rsidR="001958BF">
        <w:t>Wilk</w:t>
      </w:r>
      <w:proofErr w:type="spellEnd"/>
      <w:r w:rsidR="001958BF">
        <w:t xml:space="preserve"> test then</w:t>
      </w:r>
      <w:r w:rsidR="00F142A4">
        <w:t xml:space="preserve"> compared using a t-test</w:t>
      </w:r>
      <w:r w:rsidR="001958BF">
        <w:t>. Additionally, alpha diversity was compared using a paired t-test to check whether diversity was higher in one group versus another after the treatment.</w:t>
      </w:r>
    </w:p>
    <w:p w14:paraId="3DCDCADC" w14:textId="67814E4F" w:rsidR="00296064" w:rsidRDefault="00F142A4" w:rsidP="00296064">
      <w:proofErr w:type="spellStart"/>
      <w:proofErr w:type="gramStart"/>
      <w:r w:rsidRPr="00F142A4">
        <w:rPr>
          <w:b/>
        </w:rPr>
        <w:t>Statisic</w:t>
      </w:r>
      <w:r>
        <w:rPr>
          <w:b/>
        </w:rPr>
        <w:t>al</w:t>
      </w:r>
      <w:proofErr w:type="spellEnd"/>
      <w:r>
        <w:rPr>
          <w:b/>
        </w:rPr>
        <w:t xml:space="preserve"> analysis of associations between taxa and metadata</w:t>
      </w:r>
      <w:r w:rsidRPr="00F142A4">
        <w:rPr>
          <w:b/>
        </w:rPr>
        <w:t>.</w:t>
      </w:r>
      <w:proofErr w:type="gramEnd"/>
      <w:r w:rsidRPr="00F142A4">
        <w:t xml:space="preserve"> </w:t>
      </w:r>
      <w:proofErr w:type="gramStart"/>
      <w:r w:rsidR="001958BF">
        <w:t>L</w:t>
      </w:r>
      <w:r>
        <w:t>inear associations between relative abundances of common ta</w:t>
      </w:r>
      <w:r w:rsidR="001958BF">
        <w:t>xa (those present in at least .1</w:t>
      </w:r>
      <w:r>
        <w:t>% of samples) and clinical metadata covariates of interest</w:t>
      </w:r>
      <w:r w:rsidR="001958BF">
        <w:t>, as provided by the GM-Tufts team, was</w:t>
      </w:r>
      <w:proofErr w:type="gramEnd"/>
      <w:r w:rsidR="001958BF">
        <w:t xml:space="preserve"> performed</w:t>
      </w:r>
      <w:r>
        <w:t xml:space="preserve">. </w:t>
      </w:r>
      <w:r w:rsidRPr="00F142A4">
        <w:t>For t</w:t>
      </w:r>
      <w:r w:rsidR="001958BF">
        <w:t xml:space="preserve">his statistical testing we </w:t>
      </w:r>
      <w:r w:rsidRPr="00F142A4">
        <w:t>perform</w:t>
      </w:r>
      <w:r w:rsidR="001958BF">
        <w:t>ed</w:t>
      </w:r>
      <w:r w:rsidRPr="00F142A4">
        <w:t xml:space="preserve"> a generalized linear regression in the sta</w:t>
      </w:r>
      <w:r>
        <w:t>tistical package R</w:t>
      </w:r>
      <w:r w:rsidR="001958BF">
        <w:t>, while controlling for age, BMI, and gender</w:t>
      </w:r>
      <w:r>
        <w:t>.</w:t>
      </w:r>
      <w:r w:rsidRPr="00F142A4">
        <w:t xml:space="preserve"> Significance of associations w</w:t>
      </w:r>
      <w:r w:rsidR="001958BF">
        <w:t>as</w:t>
      </w:r>
      <w:r w:rsidRPr="00F142A4">
        <w:t xml:space="preserve"> corrected for the total number of comparisons using false discovery rate correction. </w:t>
      </w:r>
      <w:r w:rsidR="00C45C66">
        <w:t>Additionally, correlation tests (using Spearman’s correlation) were conducted to control for outliers, a</w:t>
      </w:r>
      <w:bookmarkStart w:id="0" w:name="_GoBack"/>
      <w:bookmarkEnd w:id="0"/>
      <w:r w:rsidR="00C45C66">
        <w:t xml:space="preserve">nd hence associations were identified as significant if they had both q-values &lt; .25 and correlation test p-values &lt; .05. </w:t>
      </w:r>
      <w:r>
        <w:t>These tests w</w:t>
      </w:r>
      <w:r w:rsidR="001958BF">
        <w:t>ere</w:t>
      </w:r>
      <w:r>
        <w:t xml:space="preserve"> </w:t>
      </w:r>
      <w:r w:rsidR="001958BF">
        <w:t>performed</w:t>
      </w:r>
      <w:r>
        <w:t xml:space="preserve"> within the control subjects only by regressing clinical covariates on relative abundance of various taxa</w:t>
      </w:r>
      <w:r w:rsidR="001958BF">
        <w:t xml:space="preserve"> at baseline</w:t>
      </w:r>
      <w:r>
        <w:t>, and in control and treatment subjects together</w:t>
      </w:r>
      <w:r w:rsidR="00271571">
        <w:t xml:space="preserve"> stratified by treatment group. Additionally, changes in relative abundances of taxa and changes in clinical variables of interest were also used for similar tests.</w:t>
      </w:r>
    </w:p>
    <w:p w14:paraId="1AEC39E8" w14:textId="25215F90" w:rsidR="00F142A4" w:rsidRPr="00F142A4" w:rsidRDefault="00F142A4" w:rsidP="00374245">
      <w:proofErr w:type="gramStart"/>
      <w:r>
        <w:rPr>
          <w:b/>
        </w:rPr>
        <w:t>Predictive modeling of clinical covariates by microbiome composition.</w:t>
      </w:r>
      <w:proofErr w:type="gramEnd"/>
      <w:r>
        <w:t xml:space="preserve"> </w:t>
      </w:r>
      <w:r w:rsidR="00271571">
        <w:t>C</w:t>
      </w:r>
      <w:r>
        <w:t xml:space="preserve">hanges in clinical covariate values, </w:t>
      </w:r>
      <w:r w:rsidR="00271571">
        <w:t>as provided by the GM-Tufts team</w:t>
      </w:r>
      <w:r>
        <w:t xml:space="preserve">, in response to the fiber intervention, </w:t>
      </w:r>
      <w:r w:rsidR="00271571">
        <w:t xml:space="preserve">was tested for </w:t>
      </w:r>
      <w:r w:rsidR="00271571">
        <w:lastRenderedPageBreak/>
        <w:t>predictive</w:t>
      </w:r>
      <w:r>
        <w:t xml:space="preserve"> </w:t>
      </w:r>
      <w:r w:rsidR="00271571">
        <w:t xml:space="preserve">capability </w:t>
      </w:r>
      <w:r>
        <w:t>from the configuration of the pre-intervention microbiome</w:t>
      </w:r>
      <w:r w:rsidR="00271571">
        <w:t xml:space="preserve"> as well as the configuration of the change in the microbiome</w:t>
      </w:r>
      <w:r>
        <w:t>. These tests w</w:t>
      </w:r>
      <w:r w:rsidR="00271571">
        <w:t>ere</w:t>
      </w:r>
      <w:r>
        <w:t xml:space="preserve"> performed using the randomForests package in R. </w:t>
      </w:r>
    </w:p>
    <w:p w14:paraId="1B8B1304" w14:textId="274D3927" w:rsidR="00F142A4" w:rsidRDefault="00F142A4" w:rsidP="00374245"/>
    <w:sectPr w:rsidR="00F14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A2586"/>
    <w:multiLevelType w:val="hybridMultilevel"/>
    <w:tmpl w:val="A322B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245"/>
    <w:rsid w:val="0010507A"/>
    <w:rsid w:val="001958BF"/>
    <w:rsid w:val="00271571"/>
    <w:rsid w:val="00296064"/>
    <w:rsid w:val="00374245"/>
    <w:rsid w:val="004D7430"/>
    <w:rsid w:val="004F0537"/>
    <w:rsid w:val="00524E01"/>
    <w:rsid w:val="007D582D"/>
    <w:rsid w:val="009474DD"/>
    <w:rsid w:val="00AF2B6B"/>
    <w:rsid w:val="00C45C66"/>
    <w:rsid w:val="00CB26AD"/>
    <w:rsid w:val="00CE6E37"/>
    <w:rsid w:val="00D0524C"/>
    <w:rsid w:val="00EC1E39"/>
    <w:rsid w:val="00EC34F5"/>
    <w:rsid w:val="00F1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3363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24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74245"/>
    <w:pPr>
      <w:spacing w:before="180" w:after="180" w:line="336" w:lineRule="atLeast"/>
    </w:pPr>
    <w:rPr>
      <w:rFonts w:ascii="Arial" w:eastAsia="Times New Roman" w:hAnsi="Arial" w:cs="Arial"/>
      <w:sz w:val="21"/>
      <w:szCs w:val="21"/>
    </w:rPr>
  </w:style>
  <w:style w:type="character" w:customStyle="1" w:styleId="hitinf1">
    <w:name w:val="hit_inf1"/>
    <w:basedOn w:val="DefaultParagraphFont"/>
    <w:rsid w:val="00374245"/>
    <w:rPr>
      <w:b/>
      <w:bCs/>
      <w:shd w:val="clear" w:color="auto" w:fill="FFEEDD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24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74245"/>
    <w:pPr>
      <w:spacing w:before="180" w:after="180" w:line="336" w:lineRule="atLeast"/>
    </w:pPr>
    <w:rPr>
      <w:rFonts w:ascii="Arial" w:eastAsia="Times New Roman" w:hAnsi="Arial" w:cs="Arial"/>
      <w:sz w:val="21"/>
      <w:szCs w:val="21"/>
    </w:rPr>
  </w:style>
  <w:style w:type="character" w:customStyle="1" w:styleId="hitinf1">
    <w:name w:val="hit_inf1"/>
    <w:basedOn w:val="DefaultParagraphFont"/>
    <w:rsid w:val="00374245"/>
    <w:rPr>
      <w:b/>
      <w:bCs/>
      <w:shd w:val="clear" w:color="auto" w:fill="FFEE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7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66750">
          <w:marLeft w:val="0"/>
          <w:marRight w:val="0"/>
          <w:marTop w:val="270"/>
          <w:marBottom w:val="90"/>
          <w:divBdr>
            <w:top w:val="single" w:sz="6" w:space="18" w:color="CCCCCC"/>
            <w:left w:val="single" w:sz="6" w:space="14" w:color="CCCCCC"/>
            <w:bottom w:val="single" w:sz="6" w:space="11" w:color="CCCCCC"/>
            <w:right w:val="single" w:sz="6" w:space="14" w:color="CCCCCC"/>
          </w:divBdr>
          <w:divsChild>
            <w:div w:id="1795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124295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331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52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563</Words>
  <Characters>3213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Mills, Inc.</Company>
  <LinksUpToDate>false</LinksUpToDate>
  <CharactersWithSpaces>3769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Koecher</dc:creator>
  <cp:lastModifiedBy>Pajau Vangay</cp:lastModifiedBy>
  <cp:revision>4</cp:revision>
  <dcterms:created xsi:type="dcterms:W3CDTF">2015-09-16T22:24:00Z</dcterms:created>
  <dcterms:modified xsi:type="dcterms:W3CDTF">2015-09-16T23:38:00Z</dcterms:modified>
</cp:coreProperties>
</file>