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h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pcmrnG0Q5Xviap8z+7KBKqiBri+cQ4V&#10;ZnmAJ3YYGRC44Ox1NTIQEsQ5POxzqDSGqq/JMmw29qDS4Q+RQ7k8Yc0/f74cirjS9X1lL+jVI5Mr&#10;W4EduLoXzKEZmKZZG+teGuc0tXcTrBOwjXUvhLUAj+fQuuMgj6EIvoJ7JAxy8ABj3WGmW7dj3oGH&#10;HXhYCQzK1Xq/dfCGE7m0L4BhphENbRLTH/xkcZhbVpdEUezKSz9v7HbJ4CF2Q1xcK4AZ0r9zBSwa&#10;El2y1JlumsL3AevkIciTKLOZLtzA9SPIgynu3BaJH/bRQGzqr0+SVWjGvm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fCagYS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(oes)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r>
                                <w:t>Spexhex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r>
                                <w:t>Oes-spectra-analysis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0258A1" w:rsidRDefault="000258A1" w:rsidP="000258A1">
      <w:r>
        <w:t>Keine Abwärtskompatibilität gefordert (Knittel, 27.01.20)</w:t>
      </w:r>
    </w:p>
    <w:p w:rsidR="000258A1" w:rsidRPr="006A3926" w:rsidRDefault="000258A1" w:rsidP="000258A1"/>
    <w:p w:rsidR="000258A1" w:rsidRDefault="000258A1" w:rsidP="000258A1">
      <w:pPr>
        <w:pStyle w:val="Listenabsatz"/>
        <w:numPr>
          <w:ilvl w:val="0"/>
          <w:numId w:val="5"/>
        </w:numPr>
      </w:pPr>
      <w:r>
        <w:t>Primäre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Wellenlänge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Grating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Step and Glue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Port (zukünftig: 1/2/1 u. 2)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Shutter (zukünftig)</w:t>
      </w:r>
    </w:p>
    <w:p w:rsidR="000258A1" w:rsidRDefault="000258A1" w:rsidP="000258A1">
      <w:pPr>
        <w:pStyle w:val="Listenabsatz"/>
        <w:numPr>
          <w:ilvl w:val="0"/>
          <w:numId w:val="5"/>
        </w:numPr>
      </w:pPr>
      <w:r>
        <w:t>Sekundäre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Belichtungszeit (Exposure time)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Anzahl der Akkumulierungen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Readout Mode (default: FVB)</w:t>
      </w:r>
    </w:p>
    <w:p w:rsidR="000258A1" w:rsidRPr="00DA2A90" w:rsidRDefault="000258A1" w:rsidP="000258A1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421607" w:rsidRPr="00383F6B" w:rsidRDefault="00421607" w:rsidP="00383F6B">
      <w:pPr>
        <w:pStyle w:val="Listenabsatz"/>
        <w:numPr>
          <w:ilvl w:val="1"/>
          <w:numId w:val="5"/>
        </w:numPr>
      </w:pPr>
      <w:r>
        <w:t>.yml</w:t>
      </w:r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lastRenderedPageBreak/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lastRenderedPageBreak/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Processed_spectrum ggf. ein _processed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Fortschrittsbalken, bei Calculate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lastRenderedPageBreak/>
        <w:t>Leer, wenn andere Datei außerhalb der Batchanalysis geladen wurde</w:t>
      </w:r>
    </w:p>
    <w:p w:rsidR="000258A1" w:rsidRDefault="000258A1" w:rsidP="000258A1">
      <w:pPr>
        <w:pStyle w:val="berschrift2"/>
      </w:pPr>
      <w:r>
        <w:t>Gesprächsprotokolle</w:t>
      </w:r>
    </w:p>
    <w:p w:rsidR="000258A1" w:rsidRDefault="000258A1" w:rsidP="000258A1">
      <w:pPr>
        <w:pStyle w:val="berschrift3"/>
      </w:pPr>
      <w:r>
        <w:t>28.02.2020: P. Knittel, H. Wernecke</w:t>
      </w:r>
    </w:p>
    <w:p w:rsidR="000258A1" w:rsidRDefault="000258A1" w:rsidP="000258A1">
      <w:r>
        <w:t>Bezeichnung von Anzeigeelementen nach dem Schema Typ+Bezeichnung</w:t>
      </w:r>
    </w:p>
    <w:p w:rsidR="000258A1" w:rsidRDefault="000258A1" w:rsidP="000258A1">
      <w:pPr>
        <w:pStyle w:val="Listenabsatz"/>
        <w:numPr>
          <w:ilvl w:val="0"/>
          <w:numId w:val="11"/>
        </w:numPr>
      </w:pPr>
      <w:r>
        <w:t>Abkürzungen für Typ: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btn</w:t>
      </w:r>
      <w:r>
        <w:tab/>
      </w:r>
      <w:r>
        <w:sym w:font="Wingdings" w:char="F0E0"/>
      </w:r>
      <w:r>
        <w:t xml:space="preserve"> button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cb</w:t>
      </w:r>
      <w:r>
        <w:tab/>
      </w:r>
      <w:r>
        <w:sym w:font="Wingdings" w:char="F0E0"/>
      </w:r>
      <w:r>
        <w:t xml:space="preserve"> checkbox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list</w:t>
      </w:r>
      <w:r>
        <w:tab/>
      </w:r>
      <w:r>
        <w:sym w:font="Wingdings" w:char="F0E0"/>
      </w:r>
      <w:r>
        <w:t xml:space="preserve"> list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tin</w:t>
      </w:r>
      <w:r>
        <w:tab/>
      </w:r>
      <w:r>
        <w:sym w:font="Wingdings" w:char="F0E0"/>
      </w:r>
      <w:r>
        <w:t xml:space="preserve"> text input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tout</w:t>
      </w:r>
      <w:r>
        <w:tab/>
      </w:r>
      <w:r>
        <w:sym w:font="Wingdings" w:char="F0E0"/>
      </w:r>
      <w:r>
        <w:t xml:space="preserve"> text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act</w:t>
      </w:r>
      <w:r>
        <w:tab/>
      </w:r>
      <w:r>
        <w:sym w:font="Wingdings" w:char="F0E0"/>
      </w:r>
      <w:r>
        <w:t xml:space="preserve"> action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menu</w:t>
      </w:r>
      <w:r>
        <w:tab/>
      </w:r>
      <w:r>
        <w:sym w:font="Wingdings" w:char="F0E0"/>
      </w:r>
      <w:r>
        <w:t xml:space="preserve"> menu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fout</w:t>
      </w:r>
      <w:r>
        <w:tab/>
      </w:r>
      <w:r>
        <w:sym w:font="Wingdings" w:char="F0E0"/>
      </w:r>
      <w:r>
        <w:t xml:space="preserve"> file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dd</w:t>
      </w:r>
      <w:r>
        <w:tab/>
      </w:r>
      <w:r>
        <w:sym w:font="Wingdings" w:char="F0E0"/>
      </w:r>
      <w:r>
        <w:t xml:space="preserve"> dropdown</w:t>
      </w:r>
    </w:p>
    <w:p w:rsidR="000258A1" w:rsidRDefault="000258A1" w:rsidP="000258A1">
      <w:pPr>
        <w:jc w:val="both"/>
      </w:pPr>
      <w:r>
        <w:t>User Interface der BatchAnalysis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Verhalten: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Setzen eines Dateinamens (Schaltfläche „Set Filename“)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Nur möglich über Schaltfläche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Nicht möglich über die Eingabe in ein Feld, z.B. Anzeigefeld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Öffnen des Dialogs mit Standardname („_batch.csv“)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Anzeige nur von .csv-Dateien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Kein Erstellen der Datei. Das wird ggf. bei Calculate gemacht.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Auswählen von Dateien</w:t>
      </w:r>
      <w:r>
        <w:t xml:space="preserve"> (Schaltfläche „</w:t>
      </w:r>
      <w:r>
        <w:t>Browse Files</w:t>
      </w:r>
      <w:r>
        <w:t>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.csv/.spk-Dateien sind auswählbar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Auswahl der ersten Datei zur Anzeige der Daten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Berechnen </w:t>
      </w:r>
      <w:r>
        <w:t xml:space="preserve">von </w:t>
      </w:r>
      <w:r>
        <w:t xml:space="preserve">Kennwerten </w:t>
      </w:r>
      <w:r>
        <w:t>(Schaltfläche „</w:t>
      </w:r>
      <w:r>
        <w:t>Calculate</w:t>
      </w:r>
      <w:r>
        <w:t>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Nur enabled, wenn …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Speicherort festgelegt ist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Dateien ausgewählt sind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min. 1 Parameter gesetzt ist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ggf. Datei erzeugen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Berechnen der Kennwerte jeder Datei und schreiben in eine .csv-Datei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Löschen der Dateien (Schaltfläche „Clear“)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Leert die Liste der 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Entsprechend disablen von „Calculate“</w:t>
      </w:r>
    </w:p>
    <w:p w:rsidR="007840D1" w:rsidRDefault="007840D1" w:rsidP="007840D1">
      <w:pPr>
        <w:jc w:val="both"/>
      </w:pPr>
      <w:r>
        <w:t>Testfälle: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Set Filename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.csv-Endung </w:t>
      </w:r>
      <w:r>
        <w:sym w:font="Wingdings" w:char="F0E0"/>
      </w:r>
      <w:r>
        <w:t xml:space="preserve"> bleibt .csv-Endung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ohne Endung </w:t>
      </w:r>
      <w:r>
        <w:sym w:font="Wingdings" w:char="F0E0"/>
      </w:r>
      <w:r>
        <w:t xml:space="preserve"> .csv-Endung ergänzen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beliebiger Endung </w:t>
      </w:r>
      <w:r>
        <w:sym w:font="Wingdings" w:char="F0E0"/>
      </w:r>
      <w:r>
        <w:t xml:space="preserve"> ändern in .csv-Endung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Browse Files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_raw.csv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.spk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.(sif)/.asc </w:t>
      </w:r>
      <w:r>
        <w:sym w:font="Wingdings" w:char="F0E0"/>
      </w:r>
      <w:r>
        <w:t xml:space="preserve"> noch nicht ok (niedrige Priorität)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lastRenderedPageBreak/>
        <w:t xml:space="preserve">_processed.csv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Formate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Calculate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Prüfen, ob ...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Dateien ausgewertet wurden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in die Datei geschrieben wurde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Parameter berechnet wurden</w:t>
      </w:r>
    </w:p>
    <w:p w:rsidR="007840D1" w:rsidRDefault="00E51B43" w:rsidP="00E51B43">
      <w:pPr>
        <w:pStyle w:val="Listenabsatz"/>
        <w:numPr>
          <w:ilvl w:val="2"/>
          <w:numId w:val="11"/>
        </w:numPr>
        <w:jc w:val="both"/>
      </w:pPr>
      <w:r>
        <w:t>… verfügbar ist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Auswahl an Parametern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Alle Parameter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0"/>
          <w:numId w:val="11"/>
        </w:numPr>
        <w:jc w:val="both"/>
      </w:pPr>
      <w:r>
        <w:t>Clear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Keine 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>Erwartetes Verhalten: Liste leeren, Calculate nicht verfügbar</w:t>
      </w:r>
    </w:p>
    <w:p w:rsidR="000D7D23" w:rsidRDefault="000D7D23" w:rsidP="000D7D23">
      <w:pPr>
        <w:jc w:val="both"/>
      </w:pPr>
      <w:r>
        <w:t>Optionen: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Index für Listenelemente einfügen (niedrige Prio), anschließend Disp-Elemente entfernen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Dateinamen in Liste mit nur einem übergeordneten Ordner anzeigen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Berechnung über Calculate in einem Thread starten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Anzeige der aktuell ausgewählten Datei im Berechnungsprozess (Auswählbar über eine Checkbox)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Hinzufügen/Entfernen von Parameter: Hier insbesondere hinzufügen einer Fitting-Checkbox, damit der Kennwert entsprechend ausgewertet wird.</w:t>
      </w:r>
    </w:p>
    <w:p w:rsidR="000258A1" w:rsidRDefault="000258A1" w:rsidP="000258A1">
      <w:pPr>
        <w:jc w:val="both"/>
      </w:pPr>
      <w:r>
        <w:t>Weiteres: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Entfernen des verticalSpacers</w:t>
      </w:r>
      <w:r w:rsidR="00B760EE">
        <w:t>, mit setzten einer festen Höhe für Parameter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progressBar immer enabled/sichtbar: Egal</w:t>
      </w:r>
    </w:p>
    <w:p w:rsidR="000258A1" w:rsidRDefault="007840D1" w:rsidP="000258A1">
      <w:pPr>
        <w:pStyle w:val="Listenabsatz"/>
        <w:numPr>
          <w:ilvl w:val="0"/>
          <w:numId w:val="11"/>
        </w:numPr>
        <w:jc w:val="both"/>
      </w:pPr>
      <w:r>
        <w:t>verschieben der Schaltfläche „Calculate“ neben die progressBar</w:t>
      </w:r>
    </w:p>
    <w:p w:rsidR="000D7D23" w:rsidRDefault="007840D1" w:rsidP="000D7D23">
      <w:pPr>
        <w:pStyle w:val="Listenabsatz"/>
        <w:numPr>
          <w:ilvl w:val="0"/>
          <w:numId w:val="11"/>
        </w:numPr>
        <w:jc w:val="both"/>
      </w:pPr>
      <w:r>
        <w:t>Löschen der Redraw-Schaltfläche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-Löschen des Parameters PeakHeight</w:t>
      </w:r>
      <w:bookmarkStart w:id="0" w:name="_GoBack"/>
      <w:bookmarkEnd w:id="0"/>
    </w:p>
    <w:p w:rsidR="000258A1" w:rsidRPr="000258A1" w:rsidRDefault="000258A1" w:rsidP="000258A1"/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lastRenderedPageBreak/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3F1B4D" w:rsidRDefault="003F1B4D" w:rsidP="003F1B4D">
      <w:pPr>
        <w:pStyle w:val="berschrift3"/>
      </w:pPr>
      <w:r>
        <w:t>GUI</w:t>
      </w:r>
    </w:p>
    <w:p w:rsidR="003F1B4D" w:rsidRDefault="003F1B4D" w:rsidP="003F1B4D">
      <w:pPr>
        <w:pStyle w:val="Listenabsatz"/>
        <w:numPr>
          <w:ilvl w:val="0"/>
          <w:numId w:val="5"/>
        </w:numPr>
      </w:pPr>
      <w:r>
        <w:t xml:space="preserve">btn </w:t>
      </w:r>
      <w:r>
        <w:sym w:font="Wingdings" w:char="F0E0"/>
      </w:r>
      <w:r>
        <w:t xml:space="preserve"> Buttons</w:t>
      </w:r>
    </w:p>
    <w:p w:rsidR="003F1B4D" w:rsidRPr="003F1B4D" w:rsidRDefault="003F1B4D" w:rsidP="003F1B4D">
      <w:pPr>
        <w:pStyle w:val="Listenabsatz"/>
        <w:numPr>
          <w:ilvl w:val="0"/>
          <w:numId w:val="5"/>
        </w:numPr>
      </w:pPr>
      <w:r>
        <w:t xml:space="preserve">Für Gruppen von Elementen wird </w:t>
      </w:r>
      <w:r w:rsidRPr="003F1B4D">
        <w:t>PascalCase</w:t>
      </w:r>
      <w:r>
        <w:t xml:space="preserve">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lastRenderedPageBreak/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886E2A" w:rsidRDefault="00886E2A" w:rsidP="00353708">
      <w:pPr>
        <w:pStyle w:val="Listenabsatz"/>
        <w:numPr>
          <w:ilvl w:val="1"/>
          <w:numId w:val="5"/>
        </w:numPr>
      </w:pPr>
      <w:r>
        <w:t>ACHTUNG: Funktioniert nicht mit der Anaconda Power shell!!!!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6533A"/>
    <w:multiLevelType w:val="hybridMultilevel"/>
    <w:tmpl w:val="B288A536"/>
    <w:lvl w:ilvl="0" w:tplc="7C8C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258A1"/>
    <w:rsid w:val="0006264C"/>
    <w:rsid w:val="000D2D34"/>
    <w:rsid w:val="000D7D23"/>
    <w:rsid w:val="001824B9"/>
    <w:rsid w:val="001B0691"/>
    <w:rsid w:val="001E2C51"/>
    <w:rsid w:val="00221615"/>
    <w:rsid w:val="002B08F9"/>
    <w:rsid w:val="002E7CCC"/>
    <w:rsid w:val="00321850"/>
    <w:rsid w:val="003239D5"/>
    <w:rsid w:val="00353708"/>
    <w:rsid w:val="00383F6B"/>
    <w:rsid w:val="003F1B4D"/>
    <w:rsid w:val="003F66F2"/>
    <w:rsid w:val="00406B5E"/>
    <w:rsid w:val="00421607"/>
    <w:rsid w:val="00435156"/>
    <w:rsid w:val="004E3EA2"/>
    <w:rsid w:val="005C2286"/>
    <w:rsid w:val="006061FC"/>
    <w:rsid w:val="00611406"/>
    <w:rsid w:val="006850B9"/>
    <w:rsid w:val="006A3926"/>
    <w:rsid w:val="007659C4"/>
    <w:rsid w:val="00780E79"/>
    <w:rsid w:val="007840D1"/>
    <w:rsid w:val="007C7C04"/>
    <w:rsid w:val="007E01FC"/>
    <w:rsid w:val="00886E2A"/>
    <w:rsid w:val="009261ED"/>
    <w:rsid w:val="009E189D"/>
    <w:rsid w:val="00A96493"/>
    <w:rsid w:val="00B237BC"/>
    <w:rsid w:val="00B760EE"/>
    <w:rsid w:val="00C6433A"/>
    <w:rsid w:val="00C8606D"/>
    <w:rsid w:val="00CD0798"/>
    <w:rsid w:val="00DA2A90"/>
    <w:rsid w:val="00DE23FC"/>
    <w:rsid w:val="00E164C2"/>
    <w:rsid w:val="00E27C48"/>
    <w:rsid w:val="00E51B43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9BAE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  <w:style w:type="character" w:customStyle="1" w:styleId="berschrift4Zchn">
    <w:name w:val="Überschrift 4 Zchn"/>
    <w:basedOn w:val="Absatz-Standardschriftart"/>
    <w:link w:val="berschrift4"/>
    <w:uiPriority w:val="9"/>
    <w:rsid w:val="003F1B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1541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35</cp:revision>
  <dcterms:created xsi:type="dcterms:W3CDTF">2019-11-22T12:27:00Z</dcterms:created>
  <dcterms:modified xsi:type="dcterms:W3CDTF">2020-02-28T14:14:00Z</dcterms:modified>
</cp:coreProperties>
</file>