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4D0C22"/>
          <w:sz w:val="44"/>
        </w:rPr>
        <w:t>Competitor News Intelligence Pipeline</w:t>
      </w:r>
    </w:p>
    <w:p>
      <w:r>
        <w:rPr>
          <w:i/>
          <w:color w:val="6B6B72"/>
          <w:sz w:val="28"/>
        </w:rPr>
        <w:t>System Architecture &amp; Database Context</w:t>
      </w:r>
    </w:p>
    <w:p>
      <w:pPr>
        <w:spacing w:after="360"/>
      </w:pPr>
    </w:p>
    <w:p>
      <w:pPr>
        <w:spacing w:before="240" w:after="120"/>
      </w:pPr>
      <w:r>
        <w:rPr>
          <w:b/>
          <w:color w:val="4D0C22"/>
          <w:sz w:val="32"/>
        </w:rPr>
        <w:t>1. Architectural Overview &amp; Context</w:t>
      </w:r>
    </w:p>
    <w:p>
      <w:pPr>
        <w:spacing w:after="200"/>
      </w:pPr>
      <w:r>
        <w:t>The Competitor News Intelligence Pipeline is an automated competitor news ingestion, processing, and enrichment engine built in Python. It reads business-configurable parameters (such as active RSS feeds, competitors lists, and search queries) from Excel input files, aggregates articles from RSS feeds and dynamic Google News RSS searches, scrapes full body contents, and enriches articles with topic, sentiment, threat levels, actions, and strategic implications.</w:t>
      </w:r>
    </w:p>
    <w:p>
      <w:pPr>
        <w:spacing w:before="160" w:after="80"/>
      </w:pPr>
      <w:r>
        <w:rPr>
          <w:b/>
          <w:color w:val="C85000"/>
          <w:sz w:val="26"/>
        </w:rPr>
        <w:t>Key Components and Folders</w:t>
      </w:r>
    </w:p>
    <w:p>
      <w:pPr>
        <w:pStyle w:val="ListBullet"/>
        <w:spacing w:after="80"/>
      </w:pPr>
      <w:r>
        <w:rPr>
          <w:b/>
          <w:color w:val="1A1A1A"/>
        </w:rPr>
        <w:t xml:space="preserve">config/settings.py: </w:t>
      </w:r>
      <w:r>
        <w:t>Central settings specifying path variables, feed scrapers, HTTP request timeout parameters, user agents, and concurrent workers count (default 20).</w:t>
      </w:r>
    </w:p>
    <w:p>
      <w:pPr>
        <w:pStyle w:val="ListBullet"/>
        <w:spacing w:after="80"/>
      </w:pPr>
      <w:r>
        <w:rPr>
          <w:b/>
          <w:color w:val="1A1A1A"/>
        </w:rPr>
        <w:t xml:space="preserve">input/rss_feeds.xlsx: </w:t>
      </w:r>
      <w:r>
        <w:t>Active RSS feeds list (e.g. Skift) that are regularly checked by the parser.</w:t>
      </w:r>
    </w:p>
    <w:p>
      <w:pPr>
        <w:pStyle w:val="ListBullet"/>
        <w:spacing w:after="80"/>
      </w:pPr>
      <w:r>
        <w:rPr>
          <w:b/>
          <w:color w:val="1A1A1A"/>
        </w:rPr>
        <w:t xml:space="preserve">input/competitors.xlsx: </w:t>
      </w:r>
      <w:r>
        <w:t>Master competitors taxonomy mapping target segment brands: Mondee (B2B), Miraee (B2E), and Abhee (B2C).</w:t>
      </w:r>
    </w:p>
    <w:p>
      <w:pPr>
        <w:pStyle w:val="ListBullet"/>
        <w:spacing w:after="80"/>
      </w:pPr>
      <w:r>
        <w:rPr>
          <w:b/>
          <w:color w:val="1A1A1A"/>
        </w:rPr>
        <w:t xml:space="preserve">input/search_queries.xlsx: </w:t>
      </w:r>
      <w:r>
        <w:t>Structured search queries classified into Brand, Product, Executive, and Technology keywords.</w:t>
      </w:r>
    </w:p>
    <w:p>
      <w:pPr>
        <w:pStyle w:val="ListBullet"/>
        <w:spacing w:after="80"/>
      </w:pPr>
      <w:r>
        <w:rPr>
          <w:b/>
          <w:color w:val="1A1A1A"/>
        </w:rPr>
        <w:t xml:space="preserve">output/raw_news_database_[Mondee/Miraee/Abhee].xlsx: </w:t>
      </w:r>
      <w:r>
        <w:t>Individual segment-specific output Excel databases holding compiled, deduplicated and enriched competitor news.</w:t>
      </w:r>
    </w:p>
    <w:p>
      <w:pPr>
        <w:pStyle w:val="ListBullet"/>
        <w:spacing w:after="80"/>
      </w:pPr>
      <w:r>
        <w:rPr>
          <w:b/>
          <w:color w:val="1A1A1A"/>
        </w:rPr>
        <w:t xml:space="preserve">src/main.py: </w:t>
      </w:r>
      <w:r>
        <w:t>The orchestrator pipeline that runs the workflow sequentially from folder check to excel compilation.</w:t>
      </w:r>
    </w:p>
    <w:p>
      <w:pPr>
        <w:pStyle w:val="ListBullet"/>
        <w:spacing w:after="80"/>
      </w:pPr>
      <w:r>
        <w:rPr>
          <w:b/>
          <w:color w:val="1A1A1A"/>
        </w:rPr>
        <w:t xml:space="preserve">src/rss_reader.py: </w:t>
      </w:r>
      <w:r>
        <w:t>Parses and sanitizes feeds using feedparser + requests.</w:t>
      </w:r>
    </w:p>
    <w:p>
      <w:pPr>
        <w:pStyle w:val="ListBullet"/>
        <w:spacing w:after="80"/>
      </w:pPr>
      <w:r>
        <w:rPr>
          <w:b/>
          <w:color w:val="1A1A1A"/>
        </w:rPr>
        <w:t xml:space="preserve">src/article_scraper.py: </w:t>
      </w:r>
      <w:r>
        <w:t>Multi-threaded scraper executing newspaper3k and BeautifulSoup fallback routines.</w:t>
      </w:r>
    </w:p>
    <w:p>
      <w:pPr>
        <w:pStyle w:val="ListBullet"/>
        <w:spacing w:after="80"/>
      </w:pPr>
      <w:r>
        <w:rPr>
          <w:b/>
          <w:color w:val="1A1A1A"/>
        </w:rPr>
        <w:t xml:space="preserve">src/keyword_matcher.py: </w:t>
      </w:r>
      <w:r>
        <w:t>Regular expression pattern boundary matches detecting specific competitor brands in news titles and summaries.</w:t>
      </w:r>
    </w:p>
    <w:p>
      <w:pPr>
        <w:pStyle w:val="ListBullet"/>
        <w:spacing w:after="80"/>
      </w:pPr>
      <w:r>
        <w:rPr>
          <w:b/>
          <w:color w:val="1A1A1A"/>
        </w:rPr>
        <w:t xml:space="preserve">src/deduplicator.py: </w:t>
      </w:r>
      <w:r>
        <w:t>Deduplication helper checking normalized url logs before saving new items.</w:t>
      </w:r>
    </w:p>
    <w:p>
      <w:pPr>
        <w:pStyle w:val="ListBullet"/>
        <w:spacing w:after="80"/>
      </w:pPr>
      <w:r>
        <w:rPr>
          <w:b/>
          <w:color w:val="1A1A1A"/>
        </w:rPr>
        <w:t xml:space="preserve">src/ai_placeholders.py: </w:t>
      </w:r>
      <w:r>
        <w:t>Categorizer engine simulating AI topic extraction, sentiment analysis, threat level estimation, and brief summaries.</w:t>
      </w:r>
    </w:p>
    <w:p>
      <w:pPr>
        <w:spacing w:after="240"/>
      </w:pPr>
    </w:p>
    <w:p>
      <w:pPr>
        <w:spacing w:before="240" w:after="120"/>
      </w:pPr>
      <w:r>
        <w:rPr>
          <w:b/>
          <w:color w:val="4D0C22"/>
          <w:sz w:val="32"/>
        </w:rPr>
        <w:t>2. Pipeline Ingestion &amp; Processing Flow</w:t>
      </w:r>
    </w:p>
    <w:p>
      <w:pPr>
        <w:spacing w:after="160"/>
        <w:ind w:left="360"/>
      </w:pPr>
      <w:r>
        <w:rPr>
          <w:b/>
          <w:color w:val="C85000"/>
        </w:rPr>
        <w:t>Step 1: Initialize Directories</w:t>
        <w:br/>
      </w:r>
      <w:r>
        <w:t>Ensures input, output, src, and logs folders exist. Bootstraps default Excel templates if files are missing.</w:t>
      </w:r>
    </w:p>
    <w:p>
      <w:pPr>
        <w:spacing w:after="160"/>
        <w:ind w:left="360"/>
      </w:pPr>
      <w:r>
        <w:rPr>
          <w:b/>
          <w:color w:val="C85000"/>
        </w:rPr>
        <w:t>Step 2: Read Configurations</w:t>
        <w:br/>
      </w:r>
      <w:r>
        <w:t>Loads active RSS feeds list, competitor metadata classifications, and keyword searches into system memory.</w:t>
      </w:r>
    </w:p>
    <w:p>
      <w:pPr>
        <w:spacing w:after="160"/>
        <w:ind w:left="360"/>
      </w:pPr>
      <w:r>
        <w:rPr>
          <w:b/>
          <w:color w:val="C85000"/>
        </w:rPr>
        <w:t>Step 3: Construct Dynamic Feeds</w:t>
        <w:br/>
      </w:r>
      <w:r>
        <w:t>For each keyword, a Google News Search RSS feed query is built programmatically: "{query}" after:YYYY-MM-DD.</w:t>
      </w:r>
    </w:p>
    <w:p>
      <w:pPr>
        <w:spacing w:after="160"/>
        <w:ind w:left="360"/>
      </w:pPr>
      <w:r>
        <w:rPr>
          <w:b/>
          <w:color w:val="C85000"/>
        </w:rPr>
        <w:t>Step 4: Fetch and Aggregate Feeds</w:t>
        <w:br/>
      </w:r>
      <w:r>
        <w:t>Pulls RSS feeds iteratively using feedparser. Implements a 1.5s request delay to avoid server rate-limits.</w:t>
      </w:r>
    </w:p>
    <w:p>
      <w:pPr>
        <w:spacing w:after="160"/>
        <w:ind w:left="360"/>
      </w:pPr>
      <w:r>
        <w:rPr>
          <w:b/>
          <w:color w:val="C85000"/>
        </w:rPr>
        <w:t>Step 5: Apply 24-Hour Date Filter</w:t>
        <w:br/>
      </w:r>
      <w:r>
        <w:t>Discards older news, retaining only articles published in the past 24 hours.</w:t>
      </w:r>
    </w:p>
    <w:p>
      <w:pPr>
        <w:spacing w:after="160"/>
        <w:ind w:left="360"/>
      </w:pPr>
      <w:r>
        <w:rPr>
          <w:b/>
          <w:color w:val="C85000"/>
        </w:rPr>
        <w:t>Step 6: Competitor Keyword Matching</w:t>
        <w:br/>
      </w:r>
      <w:r>
        <w:t>Scans Title and Summary for competitor name variations using regex boundaries (\bkeyword\b). If multiple match, records comma-separated results.</w:t>
      </w:r>
    </w:p>
    <w:p>
      <w:pPr>
        <w:spacing w:after="160"/>
        <w:ind w:left="360"/>
      </w:pPr>
      <w:r>
        <w:rPr>
          <w:b/>
          <w:color w:val="C85000"/>
        </w:rPr>
        <w:t>Step 7: URL Deduplication</w:t>
        <w:br/>
      </w:r>
      <w:r>
        <w:t>Extracts existing database URLs and checks current candidates against normalized variations (removes query strings and UTM attributes).</w:t>
      </w:r>
    </w:p>
    <w:p>
      <w:pPr>
        <w:spacing w:after="160"/>
        <w:ind w:left="360"/>
      </w:pPr>
      <w:r>
        <w:rPr>
          <w:b/>
          <w:color w:val="C85000"/>
        </w:rPr>
        <w:t>Step 8: Concurrent Scraper Pool</w:t>
        <w:br/>
      </w:r>
      <w:r>
        <w:t>Initiates ThreadPoolExecutor workers to fetch HTML pages. Parses with newspaper3k or falls back to custom BeautifulSoup parser if blocked.</w:t>
      </w:r>
    </w:p>
    <w:p>
      <w:pPr>
        <w:spacing w:after="160"/>
        <w:ind w:left="360"/>
      </w:pPr>
      <w:r>
        <w:rPr>
          <w:b/>
          <w:color w:val="C85000"/>
        </w:rPr>
        <w:t>Step 9: Enrichment Engine</w:t>
        <w:br/>
      </w:r>
      <w:r>
        <w:t>Invokes TopicClassifier, SentimentAnalyzer, IntelligenceEngine, and BriefGenerator. Classifies competitor threat level, strategic implication, and writes summaries.</w:t>
      </w:r>
    </w:p>
    <w:p>
      <w:pPr>
        <w:spacing w:after="160"/>
        <w:ind w:left="360"/>
      </w:pPr>
      <w:r>
        <w:rPr>
          <w:b/>
          <w:color w:val="C85000"/>
        </w:rPr>
        <w:t>Step 10: Segment Output Writes</w:t>
        <w:br/>
      </w:r>
      <w:r>
        <w:t>Groups final articles by Target_Brand (Mondee, Miraee, Abhee) and appends rows to target database workbooks.</w:t>
      </w:r>
    </w:p>
    <w:p>
      <w:pPr>
        <w:spacing w:after="240"/>
      </w:pPr>
    </w:p>
    <w:p>
      <w:pPr>
        <w:spacing w:before="240" w:after="120"/>
      </w:pPr>
      <w:r>
        <w:rPr>
          <w:b/>
          <w:color w:val="4D0C22"/>
          <w:sz w:val="32"/>
        </w:rPr>
        <w:t>3. Excel Database Schema (Raw_News Sheet)</w:t>
      </w:r>
    </w:p>
    <w:tbl>
      <w:tblPr>
        <w:tblStyle w:val="LightShading-Accent1"/>
        <w:tblW w:type="auto" w:w="0"/>
        <w:tblLook w:firstColumn="1" w:firstRow="1" w:lastColumn="0" w:lastRow="0" w:noHBand="0" w:noVBand="1" w:val="04A0"/>
      </w:tblPr>
      <w:tblGrid>
        <w:gridCol w:w="4680"/>
        <w:gridCol w:w="4680"/>
      </w:tblGrid>
      <w:tr>
        <w:tc>
          <w:tcPr>
            <w:tcW w:type="dxa" w:w="4680"/>
            <w:shd w:fill="4D0C22"/>
            <w:tcMar>
              <w:top w:w="120" w:type="dxa"/>
              <w:bottom w:w="120" w:type="dxa"/>
              <w:left w:w="180" w:type="dxa"/>
              <w:right w:w="180" w:type="dxa"/>
            </w:tcMar>
          </w:tcPr>
          <w:p>
            <w:pPr>
              <w:jc w:val="left"/>
            </w:pPr>
            <w:r>
              <w:rPr>
                <w:b/>
                <w:color w:val="FFFFFF"/>
                <w:sz w:val="22"/>
              </w:rPr>
              <w:t>Column Header</w:t>
            </w:r>
          </w:p>
        </w:tc>
        <w:tc>
          <w:tcPr>
            <w:tcW w:type="dxa" w:w="4680"/>
            <w:shd w:fill="4D0C22"/>
            <w:tcMar>
              <w:top w:w="120" w:type="dxa"/>
              <w:bottom w:w="120" w:type="dxa"/>
              <w:left w:w="180" w:type="dxa"/>
              <w:right w:w="180" w:type="dxa"/>
            </w:tcMar>
          </w:tcPr>
          <w:p>
            <w:pPr>
              <w:jc w:val="left"/>
            </w:pPr>
            <w:r>
              <w:rPr>
                <w:b/>
                <w:color w:val="FFFFFF"/>
                <w:sz w:val="22"/>
              </w:rPr>
              <w:t>Description / Sample Value</w:t>
            </w:r>
          </w:p>
        </w:tc>
      </w:tr>
      <w:tr>
        <w:tc>
          <w:tcPr>
            <w:tcW w:type="dxa" w:w="4680"/>
            <w:shd w:fill="FCEEE6"/>
            <w:tcMar>
              <w:top w:w="100" w:type="dxa"/>
              <w:bottom w:w="100" w:type="dxa"/>
              <w:left w:w="150" w:type="dxa"/>
              <w:right w:w="150" w:type="dxa"/>
            </w:tcMar>
          </w:tcPr>
          <w:p>
            <w:pPr>
              <w:jc w:val="left"/>
            </w:pPr>
            <w:r>
              <w:rPr>
                <w:b/>
                <w:color w:val="2A2A2A"/>
                <w:sz w:val="21"/>
              </w:rPr>
              <w:t>Article_ID</w:t>
            </w:r>
          </w:p>
        </w:tc>
        <w:tc>
          <w:tcPr>
            <w:tcW w:type="dxa" w:w="4680"/>
            <w:shd w:fill="FCEEE6"/>
            <w:tcMar>
              <w:top w:w="100" w:type="dxa"/>
              <w:bottom w:w="100" w:type="dxa"/>
              <w:left w:w="150" w:type="dxa"/>
              <w:right w:w="150" w:type="dxa"/>
            </w:tcMar>
          </w:tcPr>
          <w:p>
            <w:pPr>
              <w:jc w:val="left"/>
            </w:pPr>
            <w:r>
              <w:rPr>
                <w:color w:val="2A2A2A"/>
                <w:sz w:val="21"/>
              </w:rPr>
              <w:t>Unique index identifier (1, 2, 3...)</w:t>
            </w:r>
          </w:p>
        </w:tc>
      </w:tr>
      <w:tr>
        <w:tc>
          <w:tcPr>
            <w:tcW w:type="dxa" w:w="4680"/>
            <w:shd w:fill="FFFFFF"/>
            <w:tcMar>
              <w:top w:w="100" w:type="dxa"/>
              <w:bottom w:w="100" w:type="dxa"/>
              <w:left w:w="150" w:type="dxa"/>
              <w:right w:w="150" w:type="dxa"/>
            </w:tcMar>
          </w:tcPr>
          <w:p>
            <w:pPr>
              <w:jc w:val="left"/>
            </w:pPr>
            <w:r>
              <w:rPr>
                <w:b/>
                <w:color w:val="2A2A2A"/>
                <w:sz w:val="21"/>
              </w:rPr>
              <w:t>RSS_Source</w:t>
            </w:r>
          </w:p>
        </w:tc>
        <w:tc>
          <w:tcPr>
            <w:tcW w:type="dxa" w:w="4680"/>
            <w:shd w:fill="FFFFFF"/>
            <w:tcMar>
              <w:top w:w="100" w:type="dxa"/>
              <w:bottom w:w="100" w:type="dxa"/>
              <w:left w:w="150" w:type="dxa"/>
              <w:right w:w="150" w:type="dxa"/>
            </w:tcMar>
          </w:tcPr>
          <w:p>
            <w:pPr>
              <w:jc w:val="left"/>
            </w:pPr>
            <w:r>
              <w:rPr>
                <w:color w:val="2A2A2A"/>
                <w:sz w:val="21"/>
              </w:rPr>
              <w:t>Source feed name (e.g. Skift, Google News Search)</w:t>
            </w:r>
          </w:p>
        </w:tc>
      </w:tr>
      <w:tr>
        <w:tc>
          <w:tcPr>
            <w:tcW w:type="dxa" w:w="4680"/>
            <w:shd w:fill="FCEEE6"/>
            <w:tcMar>
              <w:top w:w="100" w:type="dxa"/>
              <w:bottom w:w="100" w:type="dxa"/>
              <w:left w:w="150" w:type="dxa"/>
              <w:right w:w="150" w:type="dxa"/>
            </w:tcMar>
          </w:tcPr>
          <w:p>
            <w:pPr>
              <w:jc w:val="left"/>
            </w:pPr>
            <w:r>
              <w:rPr>
                <w:b/>
                <w:color w:val="2A2A2A"/>
                <w:sz w:val="21"/>
              </w:rPr>
              <w:t>RSS_URL</w:t>
            </w:r>
          </w:p>
        </w:tc>
        <w:tc>
          <w:tcPr>
            <w:tcW w:type="dxa" w:w="4680"/>
            <w:shd w:fill="FCEEE6"/>
            <w:tcMar>
              <w:top w:w="100" w:type="dxa"/>
              <w:bottom w:w="100" w:type="dxa"/>
              <w:left w:w="150" w:type="dxa"/>
              <w:right w:w="150" w:type="dxa"/>
            </w:tcMar>
          </w:tcPr>
          <w:p>
            <w:pPr>
              <w:jc w:val="left"/>
            </w:pPr>
            <w:r>
              <w:rPr>
                <w:color w:val="2A2A2A"/>
                <w:sz w:val="21"/>
              </w:rPr>
              <w:t>Feed link URL</w:t>
            </w:r>
          </w:p>
        </w:tc>
      </w:tr>
      <w:tr>
        <w:tc>
          <w:tcPr>
            <w:tcW w:type="dxa" w:w="4680"/>
            <w:shd w:fill="FFFFFF"/>
            <w:tcMar>
              <w:top w:w="100" w:type="dxa"/>
              <w:bottom w:w="100" w:type="dxa"/>
              <w:left w:w="150" w:type="dxa"/>
              <w:right w:w="150" w:type="dxa"/>
            </w:tcMar>
          </w:tcPr>
          <w:p>
            <w:pPr>
              <w:jc w:val="left"/>
            </w:pPr>
            <w:r>
              <w:rPr>
                <w:b/>
                <w:color w:val="2A2A2A"/>
                <w:sz w:val="21"/>
              </w:rPr>
              <w:t>Article_URL</w:t>
            </w:r>
          </w:p>
        </w:tc>
        <w:tc>
          <w:tcPr>
            <w:tcW w:type="dxa" w:w="4680"/>
            <w:shd w:fill="FFFFFF"/>
            <w:tcMar>
              <w:top w:w="100" w:type="dxa"/>
              <w:bottom w:w="100" w:type="dxa"/>
              <w:left w:w="150" w:type="dxa"/>
              <w:right w:w="150" w:type="dxa"/>
            </w:tcMar>
          </w:tcPr>
          <w:p>
            <w:pPr>
              <w:jc w:val="left"/>
            </w:pPr>
            <w:r>
              <w:rPr>
                <w:color w:val="2A2A2A"/>
                <w:sz w:val="21"/>
              </w:rPr>
              <w:t>Normalized resolved target web page URL</w:t>
            </w:r>
          </w:p>
        </w:tc>
      </w:tr>
      <w:tr>
        <w:tc>
          <w:tcPr>
            <w:tcW w:type="dxa" w:w="4680"/>
            <w:shd w:fill="FCEEE6"/>
            <w:tcMar>
              <w:top w:w="100" w:type="dxa"/>
              <w:bottom w:w="100" w:type="dxa"/>
              <w:left w:w="150" w:type="dxa"/>
              <w:right w:w="150" w:type="dxa"/>
            </w:tcMar>
          </w:tcPr>
          <w:p>
            <w:pPr>
              <w:jc w:val="left"/>
            </w:pPr>
            <w:r>
              <w:rPr>
                <w:b/>
                <w:color w:val="2A2A2A"/>
                <w:sz w:val="21"/>
              </w:rPr>
              <w:t>Published_Date</w:t>
            </w:r>
          </w:p>
        </w:tc>
        <w:tc>
          <w:tcPr>
            <w:tcW w:type="dxa" w:w="4680"/>
            <w:shd w:fill="FCEEE6"/>
            <w:tcMar>
              <w:top w:w="100" w:type="dxa"/>
              <w:bottom w:w="100" w:type="dxa"/>
              <w:left w:w="150" w:type="dxa"/>
              <w:right w:w="150" w:type="dxa"/>
            </w:tcMar>
          </w:tcPr>
          <w:p>
            <w:pPr>
              <w:jc w:val="left"/>
            </w:pPr>
            <w:r>
              <w:rPr>
                <w:color w:val="2A2A2A"/>
                <w:sz w:val="21"/>
              </w:rPr>
              <w:t>Standardized publish time (YYYY-MM-DD HH:MM:SS)</w:t>
            </w:r>
          </w:p>
        </w:tc>
      </w:tr>
      <w:tr>
        <w:tc>
          <w:tcPr>
            <w:tcW w:type="dxa" w:w="4680"/>
            <w:shd w:fill="FFFFFF"/>
            <w:tcMar>
              <w:top w:w="100" w:type="dxa"/>
              <w:bottom w:w="100" w:type="dxa"/>
              <w:left w:w="150" w:type="dxa"/>
              <w:right w:w="150" w:type="dxa"/>
            </w:tcMar>
          </w:tcPr>
          <w:p>
            <w:pPr>
              <w:jc w:val="left"/>
            </w:pPr>
            <w:r>
              <w:rPr>
                <w:b/>
                <w:color w:val="2A2A2A"/>
                <w:sz w:val="21"/>
              </w:rPr>
              <w:t>Competitor</w:t>
            </w:r>
          </w:p>
        </w:tc>
        <w:tc>
          <w:tcPr>
            <w:tcW w:type="dxa" w:w="4680"/>
            <w:shd w:fill="FFFFFF"/>
            <w:tcMar>
              <w:top w:w="100" w:type="dxa"/>
              <w:bottom w:w="100" w:type="dxa"/>
              <w:left w:w="150" w:type="dxa"/>
              <w:right w:w="150" w:type="dxa"/>
            </w:tcMar>
          </w:tcPr>
          <w:p>
            <w:pPr>
              <w:jc w:val="left"/>
            </w:pPr>
            <w:r>
              <w:rPr>
                <w:color w:val="2A2A2A"/>
                <w:sz w:val="21"/>
              </w:rPr>
              <w:t>Name of matched competitors (e.g., Navan, Centrav)</w:t>
            </w:r>
          </w:p>
        </w:tc>
      </w:tr>
      <w:tr>
        <w:tc>
          <w:tcPr>
            <w:tcW w:type="dxa" w:w="4680"/>
            <w:shd w:fill="FCEEE6"/>
            <w:tcMar>
              <w:top w:w="100" w:type="dxa"/>
              <w:bottom w:w="100" w:type="dxa"/>
              <w:left w:w="150" w:type="dxa"/>
              <w:right w:w="150" w:type="dxa"/>
            </w:tcMar>
          </w:tcPr>
          <w:p>
            <w:pPr>
              <w:jc w:val="left"/>
            </w:pPr>
            <w:r>
              <w:rPr>
                <w:b/>
                <w:color w:val="2A2A2A"/>
                <w:sz w:val="21"/>
              </w:rPr>
              <w:t>Matched_Query</w:t>
            </w:r>
          </w:p>
        </w:tc>
        <w:tc>
          <w:tcPr>
            <w:tcW w:type="dxa" w:w="4680"/>
            <w:shd w:fill="FCEEE6"/>
            <w:tcMar>
              <w:top w:w="100" w:type="dxa"/>
              <w:bottom w:w="100" w:type="dxa"/>
              <w:left w:w="150" w:type="dxa"/>
              <w:right w:w="150" w:type="dxa"/>
            </w:tcMar>
          </w:tcPr>
          <w:p>
            <w:pPr>
              <w:jc w:val="left"/>
            </w:pPr>
            <w:r>
              <w:rPr>
                <w:color w:val="2A2A2A"/>
                <w:sz w:val="21"/>
              </w:rPr>
              <w:t>Matched keyword phrase and type</w:t>
            </w:r>
          </w:p>
        </w:tc>
      </w:tr>
      <w:tr>
        <w:tc>
          <w:tcPr>
            <w:tcW w:type="dxa" w:w="4680"/>
            <w:shd w:fill="FFFFFF"/>
            <w:tcMar>
              <w:top w:w="100" w:type="dxa"/>
              <w:bottom w:w="100" w:type="dxa"/>
              <w:left w:w="150" w:type="dxa"/>
              <w:right w:w="150" w:type="dxa"/>
            </w:tcMar>
          </w:tcPr>
          <w:p>
            <w:pPr>
              <w:jc w:val="left"/>
            </w:pPr>
            <w:r>
              <w:rPr>
                <w:b/>
                <w:color w:val="2A2A2A"/>
                <w:sz w:val="21"/>
              </w:rPr>
              <w:t>Title</w:t>
            </w:r>
          </w:p>
        </w:tc>
        <w:tc>
          <w:tcPr>
            <w:tcW w:type="dxa" w:w="4680"/>
            <w:shd w:fill="FFFFFF"/>
            <w:tcMar>
              <w:top w:w="100" w:type="dxa"/>
              <w:bottom w:w="100" w:type="dxa"/>
              <w:left w:w="150" w:type="dxa"/>
              <w:right w:w="150" w:type="dxa"/>
            </w:tcMar>
          </w:tcPr>
          <w:p>
            <w:pPr>
              <w:jc w:val="left"/>
            </w:pPr>
            <w:r>
              <w:rPr>
                <w:color w:val="2A2A2A"/>
                <w:sz w:val="21"/>
              </w:rPr>
              <w:t>Headline title of the article</w:t>
            </w:r>
          </w:p>
        </w:tc>
      </w:tr>
      <w:tr>
        <w:tc>
          <w:tcPr>
            <w:tcW w:type="dxa" w:w="4680"/>
            <w:shd w:fill="FCEEE6"/>
            <w:tcMar>
              <w:top w:w="100" w:type="dxa"/>
              <w:bottom w:w="100" w:type="dxa"/>
              <w:left w:w="150" w:type="dxa"/>
              <w:right w:w="150" w:type="dxa"/>
            </w:tcMar>
          </w:tcPr>
          <w:p>
            <w:pPr>
              <w:jc w:val="left"/>
            </w:pPr>
            <w:r>
              <w:rPr>
                <w:b/>
                <w:color w:val="2A2A2A"/>
                <w:sz w:val="21"/>
              </w:rPr>
              <w:t>Author</w:t>
            </w:r>
          </w:p>
        </w:tc>
        <w:tc>
          <w:tcPr>
            <w:tcW w:type="dxa" w:w="4680"/>
            <w:shd w:fill="FCEEE6"/>
            <w:tcMar>
              <w:top w:w="100" w:type="dxa"/>
              <w:bottom w:w="100" w:type="dxa"/>
              <w:left w:w="150" w:type="dxa"/>
              <w:right w:w="150" w:type="dxa"/>
            </w:tcMar>
          </w:tcPr>
          <w:p>
            <w:pPr>
              <w:jc w:val="left"/>
            </w:pPr>
            <w:r>
              <w:rPr>
                <w:color w:val="2A2A2A"/>
                <w:sz w:val="21"/>
              </w:rPr>
              <w:t>Author names parsed from metadata or bylines</w:t>
            </w:r>
          </w:p>
        </w:tc>
      </w:tr>
      <w:tr>
        <w:tc>
          <w:tcPr>
            <w:tcW w:type="dxa" w:w="4680"/>
            <w:shd w:fill="FFFFFF"/>
            <w:tcMar>
              <w:top w:w="100" w:type="dxa"/>
              <w:bottom w:w="100" w:type="dxa"/>
              <w:left w:w="150" w:type="dxa"/>
              <w:right w:w="150" w:type="dxa"/>
            </w:tcMar>
          </w:tcPr>
          <w:p>
            <w:pPr>
              <w:jc w:val="left"/>
            </w:pPr>
            <w:r>
              <w:rPr>
                <w:b/>
                <w:color w:val="2A2A2A"/>
                <w:sz w:val="21"/>
              </w:rPr>
              <w:t>News_Body</w:t>
            </w:r>
          </w:p>
        </w:tc>
        <w:tc>
          <w:tcPr>
            <w:tcW w:type="dxa" w:w="4680"/>
            <w:shd w:fill="FFFFFF"/>
            <w:tcMar>
              <w:top w:w="100" w:type="dxa"/>
              <w:bottom w:w="100" w:type="dxa"/>
              <w:left w:w="150" w:type="dxa"/>
              <w:right w:w="150" w:type="dxa"/>
            </w:tcMar>
          </w:tcPr>
          <w:p>
            <w:pPr>
              <w:jc w:val="left"/>
            </w:pPr>
            <w:r>
              <w:rPr>
                <w:color w:val="2A2A2A"/>
                <w:sz w:val="21"/>
              </w:rPr>
              <w:t>Full extracted text content (stripped of headers/ads)</w:t>
            </w:r>
          </w:p>
        </w:tc>
      </w:tr>
      <w:tr>
        <w:tc>
          <w:tcPr>
            <w:tcW w:type="dxa" w:w="4680"/>
            <w:shd w:fill="FCEEE6"/>
            <w:tcMar>
              <w:top w:w="100" w:type="dxa"/>
              <w:bottom w:w="100" w:type="dxa"/>
              <w:left w:w="150" w:type="dxa"/>
              <w:right w:w="150" w:type="dxa"/>
            </w:tcMar>
          </w:tcPr>
          <w:p>
            <w:pPr>
              <w:jc w:val="left"/>
            </w:pPr>
            <w:r>
              <w:rPr>
                <w:b/>
                <w:color w:val="2A2A2A"/>
                <w:sz w:val="21"/>
              </w:rPr>
              <w:t>Scrape_Date</w:t>
            </w:r>
          </w:p>
        </w:tc>
        <w:tc>
          <w:tcPr>
            <w:tcW w:type="dxa" w:w="4680"/>
            <w:shd w:fill="FCEEE6"/>
            <w:tcMar>
              <w:top w:w="100" w:type="dxa"/>
              <w:bottom w:w="100" w:type="dxa"/>
              <w:left w:w="150" w:type="dxa"/>
              <w:right w:w="150" w:type="dxa"/>
            </w:tcMar>
          </w:tcPr>
          <w:p>
            <w:pPr>
              <w:jc w:val="left"/>
            </w:pPr>
            <w:r>
              <w:rPr>
                <w:color w:val="2A2A2A"/>
                <w:sz w:val="21"/>
              </w:rPr>
              <w:t>Scrape run date and time</w:t>
            </w:r>
          </w:p>
        </w:tc>
      </w:tr>
      <w:tr>
        <w:tc>
          <w:tcPr>
            <w:tcW w:type="dxa" w:w="4680"/>
            <w:shd w:fill="FFFFFF"/>
            <w:tcMar>
              <w:top w:w="100" w:type="dxa"/>
              <w:bottom w:w="100" w:type="dxa"/>
              <w:left w:w="150" w:type="dxa"/>
              <w:right w:w="150" w:type="dxa"/>
            </w:tcMar>
          </w:tcPr>
          <w:p>
            <w:pPr>
              <w:jc w:val="left"/>
            </w:pPr>
            <w:r>
              <w:rPr>
                <w:b/>
                <w:color w:val="2A2A2A"/>
                <w:sz w:val="21"/>
              </w:rPr>
              <w:t>Topic</w:t>
            </w:r>
          </w:p>
        </w:tc>
        <w:tc>
          <w:tcPr>
            <w:tcW w:type="dxa" w:w="4680"/>
            <w:shd w:fill="FFFFFF"/>
            <w:tcMar>
              <w:top w:w="100" w:type="dxa"/>
              <w:bottom w:w="100" w:type="dxa"/>
              <w:left w:w="150" w:type="dxa"/>
              <w:right w:w="150" w:type="dxa"/>
            </w:tcMar>
          </w:tcPr>
          <w:p>
            <w:pPr>
              <w:jc w:val="left"/>
            </w:pPr>
            <w:r>
              <w:rPr>
                <w:color w:val="2A2A2A"/>
                <w:sz w:val="21"/>
              </w:rPr>
              <w:t>Categorized sector theme (e.g. M&amp;A, Funding, Product Launch)</w:t>
            </w:r>
          </w:p>
        </w:tc>
      </w:tr>
      <w:tr>
        <w:tc>
          <w:tcPr>
            <w:tcW w:type="dxa" w:w="4680"/>
            <w:shd w:fill="FCEEE6"/>
            <w:tcMar>
              <w:top w:w="100" w:type="dxa"/>
              <w:bottom w:w="100" w:type="dxa"/>
              <w:left w:w="150" w:type="dxa"/>
              <w:right w:w="150" w:type="dxa"/>
            </w:tcMar>
          </w:tcPr>
          <w:p>
            <w:pPr>
              <w:jc w:val="left"/>
            </w:pPr>
            <w:r>
              <w:rPr>
                <w:b/>
                <w:color w:val="2A2A2A"/>
                <w:sz w:val="21"/>
              </w:rPr>
              <w:t>Sentiment</w:t>
            </w:r>
          </w:p>
        </w:tc>
        <w:tc>
          <w:tcPr>
            <w:tcW w:type="dxa" w:w="4680"/>
            <w:shd w:fill="FCEEE6"/>
            <w:tcMar>
              <w:top w:w="100" w:type="dxa"/>
              <w:bottom w:w="100" w:type="dxa"/>
              <w:left w:w="150" w:type="dxa"/>
              <w:right w:w="150" w:type="dxa"/>
            </w:tcMar>
          </w:tcPr>
          <w:p>
            <w:pPr>
              <w:jc w:val="left"/>
            </w:pPr>
            <w:r>
              <w:rPr>
                <w:color w:val="2A2A2A"/>
                <w:sz w:val="21"/>
              </w:rPr>
              <w:t>Heuristic analysis assessment (Positive, Negative, Neutral)</w:t>
            </w:r>
          </w:p>
        </w:tc>
      </w:tr>
      <w:tr>
        <w:tc>
          <w:tcPr>
            <w:tcW w:type="dxa" w:w="4680"/>
            <w:shd w:fill="FFFFFF"/>
            <w:tcMar>
              <w:top w:w="100" w:type="dxa"/>
              <w:bottom w:w="100" w:type="dxa"/>
              <w:left w:w="150" w:type="dxa"/>
              <w:right w:w="150" w:type="dxa"/>
            </w:tcMar>
          </w:tcPr>
          <w:p>
            <w:pPr>
              <w:jc w:val="left"/>
            </w:pPr>
            <w:r>
              <w:rPr>
                <w:b/>
                <w:color w:val="2A2A2A"/>
                <w:sz w:val="21"/>
              </w:rPr>
              <w:t>Threat_Level</w:t>
            </w:r>
          </w:p>
        </w:tc>
        <w:tc>
          <w:tcPr>
            <w:tcW w:type="dxa" w:w="4680"/>
            <w:shd w:fill="FFFFFF"/>
            <w:tcMar>
              <w:top w:w="100" w:type="dxa"/>
              <w:bottom w:w="100" w:type="dxa"/>
              <w:left w:w="150" w:type="dxa"/>
              <w:right w:w="150" w:type="dxa"/>
            </w:tcMar>
          </w:tcPr>
          <w:p>
            <w:pPr>
              <w:jc w:val="left"/>
            </w:pPr>
            <w:r>
              <w:rPr>
                <w:color w:val="2A2A2A"/>
                <w:sz w:val="21"/>
              </w:rPr>
              <w:t>Competitive pressure category (High, Medium, Low)</w:t>
            </w:r>
          </w:p>
        </w:tc>
      </w:tr>
      <w:tr>
        <w:tc>
          <w:tcPr>
            <w:tcW w:type="dxa" w:w="4680"/>
            <w:shd w:fill="FCEEE6"/>
            <w:tcMar>
              <w:top w:w="100" w:type="dxa"/>
              <w:bottom w:w="100" w:type="dxa"/>
              <w:left w:w="150" w:type="dxa"/>
              <w:right w:w="150" w:type="dxa"/>
            </w:tcMar>
          </w:tcPr>
          <w:p>
            <w:pPr>
              <w:jc w:val="left"/>
            </w:pPr>
            <w:r>
              <w:rPr>
                <w:b/>
                <w:color w:val="2A2A2A"/>
                <w:sz w:val="21"/>
              </w:rPr>
              <w:t>Competitor_Action</w:t>
            </w:r>
          </w:p>
        </w:tc>
        <w:tc>
          <w:tcPr>
            <w:tcW w:type="dxa" w:w="4680"/>
            <w:shd w:fill="FCEEE6"/>
            <w:tcMar>
              <w:top w:w="100" w:type="dxa"/>
              <w:bottom w:w="100" w:type="dxa"/>
              <w:left w:w="150" w:type="dxa"/>
              <w:right w:w="150" w:type="dxa"/>
            </w:tcMar>
          </w:tcPr>
          <w:p>
            <w:pPr>
              <w:jc w:val="left"/>
            </w:pPr>
            <w:r>
              <w:rPr>
                <w:color w:val="2A2A2A"/>
                <w:sz w:val="21"/>
              </w:rPr>
              <w:t>Brief description details on the action executed</w:t>
            </w:r>
          </w:p>
        </w:tc>
      </w:tr>
      <w:tr>
        <w:tc>
          <w:tcPr>
            <w:tcW w:type="dxa" w:w="4680"/>
            <w:shd w:fill="FFFFFF"/>
            <w:tcMar>
              <w:top w:w="100" w:type="dxa"/>
              <w:bottom w:w="100" w:type="dxa"/>
              <w:left w:w="150" w:type="dxa"/>
              <w:right w:w="150" w:type="dxa"/>
            </w:tcMar>
          </w:tcPr>
          <w:p>
            <w:pPr>
              <w:jc w:val="left"/>
            </w:pPr>
            <w:r>
              <w:rPr>
                <w:b/>
                <w:color w:val="2A2A2A"/>
                <w:sz w:val="21"/>
              </w:rPr>
              <w:t>Strategic_Implication</w:t>
            </w:r>
          </w:p>
        </w:tc>
        <w:tc>
          <w:tcPr>
            <w:tcW w:type="dxa" w:w="4680"/>
            <w:shd w:fill="FFFFFF"/>
            <w:tcMar>
              <w:top w:w="100" w:type="dxa"/>
              <w:bottom w:w="100" w:type="dxa"/>
              <w:left w:w="150" w:type="dxa"/>
              <w:right w:w="150" w:type="dxa"/>
            </w:tcMar>
          </w:tcPr>
          <w:p>
            <w:pPr>
              <w:jc w:val="left"/>
            </w:pPr>
            <w:r>
              <w:rPr>
                <w:color w:val="2A2A2A"/>
                <w:sz w:val="21"/>
              </w:rPr>
              <w:t>Evaluated defense option, risk summary or market gap</w:t>
            </w:r>
          </w:p>
        </w:tc>
      </w:tr>
      <w:tr>
        <w:tc>
          <w:tcPr>
            <w:tcW w:type="dxa" w:w="4680"/>
            <w:shd w:fill="FCEEE6"/>
            <w:tcMar>
              <w:top w:w="100" w:type="dxa"/>
              <w:bottom w:w="100" w:type="dxa"/>
              <w:left w:w="150" w:type="dxa"/>
              <w:right w:w="150" w:type="dxa"/>
            </w:tcMar>
          </w:tcPr>
          <w:p>
            <w:pPr>
              <w:jc w:val="left"/>
            </w:pPr>
            <w:r>
              <w:rPr>
                <w:b/>
                <w:color w:val="2A2A2A"/>
                <w:sz w:val="21"/>
              </w:rPr>
              <w:t>Executive_Summary</w:t>
            </w:r>
          </w:p>
        </w:tc>
        <w:tc>
          <w:tcPr>
            <w:tcW w:type="dxa" w:w="4680"/>
            <w:shd w:fill="FCEEE6"/>
            <w:tcMar>
              <w:top w:w="100" w:type="dxa"/>
              <w:bottom w:w="100" w:type="dxa"/>
              <w:left w:w="150" w:type="dxa"/>
              <w:right w:w="150" w:type="dxa"/>
            </w:tcMar>
          </w:tcPr>
          <w:p>
            <w:pPr>
              <w:jc w:val="left"/>
            </w:pPr>
            <w:r>
              <w:rPr>
                <w:color w:val="2A2A2A"/>
                <w:sz w:val="21"/>
              </w:rPr>
              <w:t>Cleaned 2-sentence executive summary of the article</w:t>
            </w:r>
          </w:p>
        </w:tc>
      </w:tr>
      <w:tr>
        <w:tc>
          <w:tcPr>
            <w:tcW w:type="dxa" w:w="4680"/>
            <w:shd w:fill="FFFFFF"/>
            <w:tcMar>
              <w:top w:w="100" w:type="dxa"/>
              <w:bottom w:w="100" w:type="dxa"/>
              <w:left w:w="150" w:type="dxa"/>
              <w:right w:w="150" w:type="dxa"/>
            </w:tcMar>
          </w:tcPr>
          <w:p>
            <w:pPr>
              <w:jc w:val="left"/>
            </w:pPr>
            <w:r>
              <w:rPr>
                <w:b/>
                <w:color w:val="2A2A2A"/>
                <w:sz w:val="21"/>
              </w:rPr>
              <w:t>Target_Brand</w:t>
            </w:r>
          </w:p>
        </w:tc>
        <w:tc>
          <w:tcPr>
            <w:tcW w:type="dxa" w:w="4680"/>
            <w:shd w:fill="FFFFFF"/>
            <w:tcMar>
              <w:top w:w="100" w:type="dxa"/>
              <w:bottom w:w="100" w:type="dxa"/>
              <w:left w:w="150" w:type="dxa"/>
              <w:right w:w="150" w:type="dxa"/>
            </w:tcMar>
          </w:tcPr>
          <w:p>
            <w:pPr>
              <w:jc w:val="left"/>
            </w:pPr>
            <w:r>
              <w:rPr>
                <w:color w:val="2A2A2A"/>
                <w:sz w:val="21"/>
              </w:rPr>
              <w:t>Associated segment mapping (Mondee, Miraee, Abhee)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