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4"/>
        </w:rPr>
        <w:t>GIU Germany Connect</w:t>
      </w:r>
    </w:p>
    <w:p>
      <w:pPr>
        <w:jc w:val="center"/>
      </w:pPr>
      <w:r>
        <w:rPr>
          <w:b/>
          <w:sz w:val="24"/>
        </w:rPr>
        <w:t>Opportunities &amp; Applications — ERD Relationship Schema</w:t>
      </w:r>
    </w:p>
    <w:p>
      <w:pPr>
        <w:jc w:val="center"/>
      </w:pPr>
      <w:r>
        <w:rPr>
          <w:i/>
          <w:color w:val="5A5A5A"/>
          <w:sz w:val="18"/>
        </w:rPr>
        <w:t>Relationship names and cardinalities for sections 2.13–2.17</w:t>
      </w:r>
    </w:p>
    <w:p>
      <w:pPr>
        <w:pStyle w:val="Heading1"/>
      </w:pPr>
      <w:r>
        <w:t>1. Relationship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12"/>
            <w:vAlign w:val="center"/>
            <w:shd w:fill="D9EAF7"/>
          </w:tcPr>
          <w:p>
            <w:r>
              <w:rPr>
                <w:b/>
                <w:sz w:val="17"/>
              </w:rPr>
              <w:t>Entity A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7"/>
              </w:rPr>
              <w:t>Relationship</w:t>
            </w:r>
          </w:p>
        </w:tc>
        <w:tc>
          <w:tcPr>
            <w:tcW w:type="dxa" w:w="1944"/>
            <w:vAlign w:val="center"/>
            <w:shd w:fill="D9EAF7"/>
          </w:tcPr>
          <w:p>
            <w:r>
              <w:rPr>
                <w:b/>
                <w:sz w:val="17"/>
              </w:rPr>
              <w:t>Entity B</w:t>
            </w:r>
          </w:p>
        </w:tc>
        <w:tc>
          <w:tcPr>
            <w:tcW w:type="dxa" w:w="2088"/>
            <w:vAlign w:val="center"/>
            <w:shd w:fill="D9EAF7"/>
          </w:tcPr>
          <w:p>
            <w:r>
              <w:rPr>
                <w:b/>
                <w:sz w:val="17"/>
              </w:rPr>
              <w:t>Cardinality</w:t>
            </w:r>
          </w:p>
        </w:tc>
        <w:tc>
          <w:tcPr>
            <w:tcW w:type="dxa" w:w="3240"/>
            <w:vAlign w:val="center"/>
            <w:shd w:fill="D9EAF7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STUDENT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SUBMITS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STUDENT 1 : N APPLICATION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student may submit multiple applications; each application is submitted by one student.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OPPORTUNITY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RECEIVES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OPPORTUNITY 1 : N APPLICATION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An opportunity may receive many applications; each application targets one opportunity.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CONTAINS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APPLICATION_DOCUMENT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APPLICATION 1 : N APPLICATION_DOCUMENT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An application may include multiple documents; each document belongs to one application.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HAS / SCHEDULES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INTERVIEW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APPLICATION 1 : N INTERVIEW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An application may have multiple interviews; each interview is associated with one application.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INTERVIEW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CONDUCTED_BY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INTERVIEWER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b w:val="0"/>
                <w:sz w:val="16"/>
              </w:rPr>
              <w:t>INTERVIEW M : N INTERVIEWER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An interview may have multiple interviewers, and an interviewer may conduct multiple interviews.</w:t>
            </w:r>
          </w:p>
        </w:tc>
      </w:tr>
    </w:tbl>
    <w:p/>
    <w:p>
      <w:pPr>
        <w:pStyle w:val="Heading1"/>
      </w:pPr>
      <w:r>
        <w:t>2. Visual relationship map</w:t>
      </w:r>
    </w:p>
    <w:p>
      <w:pPr>
        <w:spacing w:after="100"/>
        <w:jc w:val="center"/>
      </w:pPr>
      <w:r>
        <w:rPr>
          <w:rFonts w:ascii="Arial" w:hAnsi="Arial"/>
          <w:b/>
          <w:sz w:val="18"/>
        </w:rPr>
        <w:t>STUDENT</w:t>
      </w:r>
      <w:r>
        <w:rPr>
          <w:rFonts w:ascii="Arial" w:hAnsi="Arial"/>
          <w:b w:val="0"/>
          <w:sz w:val="18"/>
        </w:rPr>
        <w:t xml:space="preserve">  (1)  ── </w:t>
      </w:r>
      <w:r>
        <w:rPr>
          <w:rFonts w:ascii="Arial" w:hAnsi="Arial"/>
          <w:b/>
          <w:sz w:val="18"/>
        </w:rPr>
        <w:t>SUBMITS</w:t>
      </w:r>
      <w:r>
        <w:rPr>
          <w:rFonts w:ascii="Arial" w:hAnsi="Arial"/>
          <w:b w:val="0"/>
          <w:sz w:val="18"/>
        </w:rPr>
        <w:t xml:space="preserve"> ──  (N)  </w:t>
      </w:r>
      <w:r>
        <w:rPr>
          <w:rFonts w:ascii="Arial" w:hAnsi="Arial"/>
          <w:b/>
          <w:sz w:val="18"/>
        </w:rPr>
        <w:t>APPLICATION</w:t>
      </w:r>
    </w:p>
    <w:p>
      <w:pPr>
        <w:spacing w:after="100"/>
        <w:jc w:val="center"/>
      </w:pPr>
      <w:r>
        <w:rPr>
          <w:rFonts w:ascii="Arial" w:hAnsi="Arial"/>
          <w:b/>
          <w:sz w:val="18"/>
        </w:rPr>
        <w:t>OPPORTUNITY</w:t>
      </w:r>
      <w:r>
        <w:rPr>
          <w:rFonts w:ascii="Arial" w:hAnsi="Arial"/>
          <w:b w:val="0"/>
          <w:sz w:val="18"/>
        </w:rPr>
        <w:t xml:space="preserve">  (1)  ── </w:t>
      </w:r>
      <w:r>
        <w:rPr>
          <w:rFonts w:ascii="Arial" w:hAnsi="Arial"/>
          <w:b/>
          <w:sz w:val="18"/>
        </w:rPr>
        <w:t>RECEIVES</w:t>
      </w:r>
      <w:r>
        <w:rPr>
          <w:rFonts w:ascii="Arial" w:hAnsi="Arial"/>
          <w:b w:val="0"/>
          <w:sz w:val="18"/>
        </w:rPr>
        <w:t xml:space="preserve"> ──  (N)  </w:t>
      </w:r>
      <w:r>
        <w:rPr>
          <w:rFonts w:ascii="Arial" w:hAnsi="Arial"/>
          <w:b/>
          <w:sz w:val="18"/>
        </w:rPr>
        <w:t>APPLICATION</w:t>
      </w:r>
    </w:p>
    <w:p>
      <w:pPr>
        <w:spacing w:after="100"/>
        <w:jc w:val="center"/>
      </w:pPr>
      <w:r>
        <w:rPr>
          <w:rFonts w:ascii="Arial" w:hAnsi="Arial"/>
          <w:b/>
          <w:sz w:val="18"/>
        </w:rPr>
        <w:t>APPLICATION</w:t>
      </w:r>
      <w:r>
        <w:rPr>
          <w:rFonts w:ascii="Arial" w:hAnsi="Arial"/>
          <w:b w:val="0"/>
          <w:sz w:val="18"/>
        </w:rPr>
        <w:t xml:space="preserve">  (1)  ── </w:t>
      </w:r>
      <w:r>
        <w:rPr>
          <w:rFonts w:ascii="Arial" w:hAnsi="Arial"/>
          <w:b/>
          <w:sz w:val="18"/>
        </w:rPr>
        <w:t>CONTAINS</w:t>
      </w:r>
      <w:r>
        <w:rPr>
          <w:rFonts w:ascii="Arial" w:hAnsi="Arial"/>
          <w:b w:val="0"/>
          <w:sz w:val="18"/>
        </w:rPr>
        <w:t xml:space="preserve"> ──  (N)  </w:t>
      </w:r>
      <w:r>
        <w:rPr>
          <w:rFonts w:ascii="Arial" w:hAnsi="Arial"/>
          <w:b/>
          <w:sz w:val="18"/>
        </w:rPr>
        <w:t>APPLICATION_DOCUMENT</w:t>
      </w:r>
    </w:p>
    <w:p>
      <w:pPr>
        <w:spacing w:after="100"/>
        <w:jc w:val="center"/>
      </w:pPr>
      <w:r>
        <w:rPr>
          <w:rFonts w:ascii="Arial" w:hAnsi="Arial"/>
          <w:b/>
          <w:sz w:val="18"/>
        </w:rPr>
        <w:t>APPLICATION</w:t>
      </w:r>
      <w:r>
        <w:rPr>
          <w:rFonts w:ascii="Arial" w:hAnsi="Arial"/>
          <w:b w:val="0"/>
          <w:sz w:val="18"/>
        </w:rPr>
        <w:t xml:space="preserve">  (1)  ── </w:t>
      </w:r>
      <w:r>
        <w:rPr>
          <w:rFonts w:ascii="Arial" w:hAnsi="Arial"/>
          <w:b/>
          <w:sz w:val="18"/>
        </w:rPr>
        <w:t>HAS / SCHEDULES</w:t>
      </w:r>
      <w:r>
        <w:rPr>
          <w:rFonts w:ascii="Arial" w:hAnsi="Arial"/>
          <w:b w:val="0"/>
          <w:sz w:val="18"/>
        </w:rPr>
        <w:t xml:space="preserve"> ──  (N)  </w:t>
      </w:r>
      <w:r>
        <w:rPr>
          <w:rFonts w:ascii="Arial" w:hAnsi="Arial"/>
          <w:b/>
          <w:sz w:val="18"/>
        </w:rPr>
        <w:t>INTERVIEW</w:t>
      </w:r>
    </w:p>
    <w:p>
      <w:pPr>
        <w:spacing w:after="100"/>
        <w:jc w:val="center"/>
      </w:pPr>
      <w:r>
        <w:rPr>
          <w:rFonts w:ascii="Arial" w:hAnsi="Arial"/>
          <w:b/>
          <w:sz w:val="18"/>
        </w:rPr>
        <w:t>INTERVIEW</w:t>
      </w:r>
      <w:r>
        <w:rPr>
          <w:rFonts w:ascii="Arial" w:hAnsi="Arial"/>
          <w:b w:val="0"/>
          <w:sz w:val="18"/>
        </w:rPr>
        <w:t xml:space="preserve">  (M)  ── </w:t>
      </w:r>
      <w:r>
        <w:rPr>
          <w:rFonts w:ascii="Arial" w:hAnsi="Arial"/>
          <w:b/>
          <w:sz w:val="18"/>
        </w:rPr>
        <w:t>CONDUCTED_BY</w:t>
      </w:r>
      <w:r>
        <w:rPr>
          <w:rFonts w:ascii="Arial" w:hAnsi="Arial"/>
          <w:b w:val="0"/>
          <w:sz w:val="18"/>
        </w:rPr>
        <w:t xml:space="preserve"> ──  (N)  </w:t>
      </w:r>
      <w:r>
        <w:rPr>
          <w:rFonts w:ascii="Arial" w:hAnsi="Arial"/>
          <w:b/>
          <w:sz w:val="18"/>
        </w:rPr>
        <w:t>INTERVIEWER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