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55" w:line="252" w:lineRule="auto"/>
      </w:pPr>
      <w:r>
        <w:rPr>
          <w:rFonts w:ascii="Arial" w:hAnsi="Arial"/>
          <w:sz w:val="22"/>
          <w:b/>
        </w:rPr>
        <w:t xml:space="preserve">OPPORTUNITIES &amp; APPLICATIONS RELATIONAL SCHEMA </w:t>
      </w:r>
    </w:p>
    <w:p>
      <w:pPr>
        <w:spacing w:after="55" w:line="252" w:lineRule="auto"/>
      </w:pP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CORE SUPERCLASS &amp; SUBCLASS RELATIONS (OPPORTUNITY SPECIALIZATION) Opportunity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title,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description,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type,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application_start_date,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application_end_date,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capacity,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location_mode,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relevant_dates,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language_requirements,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status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ThesisTopic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funding_info,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expected_outcomes,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travel_info,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accommodation_info,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academicID [FK references GIU_Academic(ID), NOT NULL],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partnerProfessorID [FK references Partner_Professor(ID), NULLABLE],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submitted_by_personID [FK references Person(ID),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ShortProgram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duration,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location,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hosting_arrangements,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universityID [FK references University(universityID),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MobilityProgram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mobility_type,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duration,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host_universityID [FK references University(universityID), NOT NULL],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sending_universityID [FK references University(universityID),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APPLICATION &amp; WORKFLOW RELATIONS Application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applicationID [PK],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status,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decision_date,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additional_info,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[FK references Opportunity(opportunityID), NOT NULL],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studentID [FK references Student(ID),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ApplicationDocument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document_type [Partial Key],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applicationID [FK references Application(applicationID), NOT NULL],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upload_date,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file_reference,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PRIMARY KEY (applicationID, document_type)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Interview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interviewID [PK],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interview_date,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time,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location_or_mode,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outcome,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notes,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applicationID [FK references Application(applicationID),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Interviewer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interviewerID [PK],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role_or_position,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personID [FK references Person(ID), UNIQUE, NOT NULL]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ASSOCIATIVE &amp; MANY-TO-MANY RELATIONSHIP TABLES InterviewInterviewer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interviewID [PK, FK references Interview(interviewID)],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interviewerID [PK, FK references Interviewer(interviewerID)]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OpportunityField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fieldID [PK, FK references Field(ID)]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ThesisTopicResearchArea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ThesisTopic(opportunityID)],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researchAreaID [PK, FK references ResearchArea(ID)]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OpportunityRequiredCourse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courseID [PK, FK references Course(ID)]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OpportunityRequiredSkill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skillID [PK, FK references Skill(ID)]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 OpportunityEligibleProgram (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opportunityID [PK, FK references Opportunity(opportunityID)],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programID [PK, FK references Program(ID)]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)  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EERD constraints: Opportunity specialization is disjoint (D) and partial; Opportunity.type must match its subtype (if any).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Each Opportunity requires at least one Field; each ThesisTopic needs at least one ResearchArea. These rules need enforcement beyond PK/FK constraints.</w:t>
      </w:r>
    </w:p>
    <w:sectPr>
      <w:pgSz w:w="12240" w:h="15840"/>
      <w:pgMar w:top="1123" w:right="1152" w:bottom="1123" w:left="1152" w:header="720" w:footer="720" w:gutter="0"/>
    </w:sectPr>
  </w:body>
</w:document>
</file>