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60"/>
      </w:pPr>
      <w:r>
        <w:t xml:space="preserve">Suho Kwon, Jane Doe. (2026-09). </w:t>
      </w:r>
      <w:r>
        <w:rPr>
          <w:i/>
          <w:iCs/>
        </w:rPr>
        <w:t xml:space="preserve">Converting documents without an external engine</w:t>
      </w:r>
      <w:r>
        <w:t xml:space="preserve">. Journal of Document Engineering. 12(3), 101–118. </w:t>
      </w:r>
      <w:hyperlink w:history="1" r:id="rIdyhz1ozwz-faufry1qgjcy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John MacFarlane. (2024). </w:t>
      </w:r>
      <w:r>
        <w:rPr>
          <w:i/>
          <w:iCs/>
        </w:rPr>
        <w:t xml:space="preserve">Pandoc User's Guide</w:t>
      </w:r>
      <w:r>
        <w:t xml:space="preserve">. pandoc.org. </w:t>
      </w:r>
      <w:hyperlink w:history="1" r:id="rIdfe6mvdfiwmmjxjmrn4voz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Suho Kwon. (2026-09-22). </w:t>
      </w:r>
      <w:r>
        <w:rPr>
          <w:i/>
          <w:iCs/>
        </w:rPr>
        <w:t xml:space="preserve">My Document Converter</w:t>
      </w:r>
      <w:r>
        <w:t xml:space="preserve">. </w:t>
      </w:r>
      <w:hyperlink w:history="1" r:id="rId-5ce2yibjcutv9kfb7ebz">
        <w:r>
          <w:rPr>
            <w:rStyle w:val="Hyperlink"/>
            <w:color w:val="0563C1"/>
          </w:rPr>
        </w:r>
      </w:hyperlink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hz1ozwz-faufry1qgjcy" Type="http://schemas.openxmlformats.org/officeDocument/2006/relationships/hyperlink" Target="https://doi.org/10.1000/jde.2026.12.3.101" TargetMode="External"/><Relationship Id="rIdfe6mvdfiwmmjxjmrn4voz" Type="http://schemas.openxmlformats.org/officeDocument/2006/relationships/hyperlink" Target="https://pandoc.org/MANUAL.html" TargetMode="External"/><Relationship Id="rId-5ce2yibjcutv9kfb7ebz" Type="http://schemas.openxmlformats.org/officeDocument/2006/relationships/hyperlink" Target="https://example.com/mdc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2026-09-22T05:40:05.332Z</dcterms:created>
  <dcterms:modified xsi:type="dcterms:W3CDTF">2026-09-22T05:40:05.332Z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