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spacing w:after="60"/>
      </w:pPr>
      <w:r>
        <w:t xml:space="preserve">Suho Kwon, Jane Doe. (2026). </w:t>
      </w:r>
      <w:r>
        <w:rPr>
          <w:i/>
          <w:iCs/>
        </w:rPr>
        <w:t xml:space="preserve">Converting documents without an external engine</w:t>
      </w:r>
      <w:r>
        <w:t xml:space="preserve">. Journal of Document Engineering. 12(3), 101-118. </w:t>
      </w:r>
      <w:hyperlink w:history="1" r:id="rIdrhexmkoxf4c114nfxrxau">
        <w:r>
          <w:rPr>
            <w:rStyle w:val="Hyperlink"/>
            <w:color w:val="0563C1"/>
          </w:rPr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John MacFarlane. (2024). </w:t>
      </w:r>
      <w:r>
        <w:rPr>
          <w:i/>
          <w:iCs/>
        </w:rPr>
        <w:t xml:space="preserve">Pandoc User's Guide</w:t>
      </w:r>
      <w:r>
        <w:t xml:space="preserve">. pandoc.org. </w:t>
      </w:r>
      <w:hyperlink w:history="1" r:id="rIdkhgqmo4xlepvxn4azj-8c">
        <w:r>
          <w:rPr>
            <w:rStyle w:val="Hyperlink"/>
            <w:color w:val="0563C1"/>
          </w:rPr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Minsoo Lee. (2025). </w:t>
      </w:r>
      <w:r>
        <w:rPr>
          <w:i/>
          <w:iCs/>
        </w:rPr>
        <w:t xml:space="preserve">천지인 입력기의 다중 플랫폼 이식</w:t>
      </w:r>
      <w:r>
        <w:t xml:space="preserve">. 한국 소프트웨어 학회 학술대회. pp. 45-52.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hexmkoxf4c114nfxrxau" Type="http://schemas.openxmlformats.org/officeDocument/2006/relationships/hyperlink" Target="https://doi.org/10.1000/jde.2026.12.3.101" TargetMode="External"/><Relationship Id="rIdkhgqmo4xlepvxn4azj-8c" Type="http://schemas.openxmlformats.org/officeDocument/2006/relationships/hyperlink" Target="https://pandoc.org/MANUAL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2026-09-22T05:40:05.470Z</dcterms:created>
  <dcterms:modified xsi:type="dcterms:W3CDTF">2026-09-22T05:40:05.470Z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