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Казначеева Кристина 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Лабораторная работа направлена на рассматрение команды условного и безусловного перехода, формирование навыков написания программ с использованием переходов, а также на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данной лабораторной работе мы изучим безусловные переходы (jmp) и программу поиска наибольшего из трёх целых чисел. Также мы рассмотрим структуру файлов листинга и реализацию переходов в NASM.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lab07 и перейдём в него (рис. 1).</w:t>
      </w:r>
    </w:p>
    <w:bookmarkStart w:id="25" w:name="fig:001"/>
    <w:p>
      <w:pPr>
        <w:pStyle w:val="CaptionedFigure"/>
      </w:pPr>
      <w:r>
        <w:drawing>
          <wp:inline>
            <wp:extent cx="3733800" cy="217926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Затем создадим файл lab7-1.asm (рис. 2).</w:t>
      </w:r>
    </w:p>
    <w:bookmarkStart w:id="29" w:name="fig:002"/>
    <w:p>
      <w:pPr>
        <w:pStyle w:val="CaptionedFigure"/>
      </w:pPr>
      <w:r>
        <w:drawing>
          <wp:inline>
            <wp:extent cx="3733800" cy="291109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29"/>
    <w:p>
      <w:pPr>
        <w:pStyle w:val="BodyText"/>
      </w:pPr>
      <w:r>
        <w:t xml:space="preserve">Введём в файл lab7-1.asm текст программы с использованием инструкции jmp (рис. 3).</w:t>
      </w:r>
    </w:p>
    <w:bookmarkStart w:id="33" w:name="fig:003"/>
    <w:p>
      <w:pPr>
        <w:pStyle w:val="CaptionedFigure"/>
      </w:pPr>
      <w:r>
        <w:drawing>
          <wp:inline>
            <wp:extent cx="3733800" cy="3790495"/>
            <wp:effectExtent b="0" l="0" r="0" t="0"/>
            <wp:docPr descr="Рис. 3: Ввод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 программы</w:t>
      </w:r>
    </w:p>
    <w:bookmarkEnd w:id="33"/>
    <w:p>
      <w:pPr>
        <w:pStyle w:val="BodyText"/>
      </w:pPr>
      <w:r>
        <w:t xml:space="preserve">Создадим исполняемый файл и запустим его (рис. 4).</w:t>
      </w:r>
    </w:p>
    <w:bookmarkStart w:id="37" w:name="fig:004"/>
    <w:p>
      <w:pPr>
        <w:pStyle w:val="CaptionedFigure"/>
      </w:pPr>
      <w:r>
        <w:drawing>
          <wp:inline>
            <wp:extent cx="3733800" cy="598032"/>
            <wp:effectExtent b="0" l="0" r="0" t="0"/>
            <wp:docPr descr="Рис. 4: Проверка работы исходного файла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работы исходного файла</w:t>
      </w:r>
    </w:p>
    <w:bookmarkEnd w:id="37"/>
    <w:p>
      <w:pPr>
        <w:pStyle w:val="BodyText"/>
      </w:pPr>
      <w:r>
        <w:t xml:space="preserve">Инструкция jmp позволяет осуществлять переходы не только вперед но и назад. Изменим текст программы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‘Сообщение№ 1’</w:t>
      </w:r>
      <w:r>
        <w:t xml:space="preserve"> </w:t>
      </w:r>
      <w:r>
        <w:t xml:space="preserve">и завершала работу (рис. 5).</w:t>
      </w:r>
    </w:p>
    <w:bookmarkStart w:id="41" w:name="fig:005"/>
    <w:p>
      <w:pPr>
        <w:pStyle w:val="CaptionedFigure"/>
      </w:pPr>
      <w:r>
        <w:drawing>
          <wp:inline>
            <wp:extent cx="3733800" cy="4196394"/>
            <wp:effectExtent b="0" l="0" r="0" t="0"/>
            <wp:docPr descr="Рис. 5: Замена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Замена текста программы</w:t>
      </w:r>
    </w:p>
    <w:bookmarkEnd w:id="41"/>
    <w:p>
      <w:pPr>
        <w:pStyle w:val="BodyText"/>
      </w:pPr>
      <w:r>
        <w:t xml:space="preserve">Запустим исполняемый файл его (рис. 6).</w:t>
      </w:r>
    </w:p>
    <w:bookmarkStart w:id="45" w:name="fig:006"/>
    <w:p>
      <w:pPr>
        <w:pStyle w:val="CaptionedFigure"/>
      </w:pPr>
      <w:r>
        <w:drawing>
          <wp:inline>
            <wp:extent cx="3733800" cy="578924"/>
            <wp:effectExtent b="0" l="0" r="0" t="0"/>
            <wp:docPr descr="Рис. 6: Проверка работы исходного файла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работы исходного файла</w:t>
      </w:r>
    </w:p>
    <w:bookmarkEnd w:id="45"/>
    <w:p>
      <w:pPr>
        <w:pStyle w:val="BodyText"/>
      </w:pPr>
      <w:r>
        <w:t xml:space="preserve">Создадим файл lab7-2.asm в каталоге ~/work/arch-pc/lab07 (рис. 7).</w:t>
      </w:r>
    </w:p>
    <w:bookmarkStart w:id="49" w:name="fig:007"/>
    <w:p>
      <w:pPr>
        <w:pStyle w:val="CaptionedFigure"/>
      </w:pPr>
      <w:r>
        <w:drawing>
          <wp:inline>
            <wp:extent cx="3733800" cy="153352"/>
            <wp:effectExtent b="0" l="0" r="0" t="0"/>
            <wp:docPr descr="Рис. 7: 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bookmarkEnd w:id="49"/>
    <w:p>
      <w:pPr>
        <w:pStyle w:val="BodyText"/>
      </w:pPr>
      <w:r>
        <w:t xml:space="preserve">Введём в файл lab7-2.asm программу, которая определяет и выводит на экран наибольшую из 3 целочисленных переменных: A,B и C (рис. 8):</w:t>
      </w:r>
    </w:p>
    <w:bookmarkStart w:id="53" w:name="fig:008"/>
    <w:p>
      <w:pPr>
        <w:pStyle w:val="CaptionedFigure"/>
      </w:pPr>
      <w:r>
        <w:drawing>
          <wp:inline>
            <wp:extent cx="3733800" cy="3741092"/>
            <wp:effectExtent b="0" l="0" r="0" t="0"/>
            <wp:docPr descr="Рис. 8: Ввод текста программы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текста программы</w:t>
      </w:r>
    </w:p>
    <w:bookmarkEnd w:id="53"/>
    <w:p>
      <w:pPr>
        <w:pStyle w:val="BodyText"/>
      </w:pPr>
      <w:r>
        <w:t xml:space="preserve">Создадим исполняемый файл и проверим его работу, например, для значения B = 98 (рис. 9).</w:t>
      </w:r>
    </w:p>
    <w:bookmarkStart w:id="57" w:name="fig:009"/>
    <w:p>
      <w:pPr>
        <w:pStyle w:val="CaptionedFigure"/>
      </w:pPr>
      <w:r>
        <w:drawing>
          <wp:inline>
            <wp:extent cx="3733800" cy="610408"/>
            <wp:effectExtent b="0" l="0" r="0" t="0"/>
            <wp:docPr descr="Рис. 9: Проверка работы исходного файла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работы исходного файла</w:t>
      </w:r>
    </w:p>
    <w:bookmarkEnd w:id="57"/>
    <w:p>
      <w:pPr>
        <w:pStyle w:val="BodyText"/>
      </w:pPr>
      <w:r>
        <w:t xml:space="preserve">Чтобы получить файл листинга, создадим файл листинга для программы из файла lab7-2.asm, указав ключ -l и задав имя файла листинга в командной строке (рис. 10).</w:t>
      </w:r>
    </w:p>
    <w:bookmarkStart w:id="61" w:name="fig:010"/>
    <w:p>
      <w:pPr>
        <w:pStyle w:val="CaptionedFigure"/>
      </w:pPr>
      <w:r>
        <w:drawing>
          <wp:inline>
            <wp:extent cx="3733800" cy="118288"/>
            <wp:effectExtent b="0" l="0" r="0" t="0"/>
            <wp:docPr descr="Рис. 10: Создание файл листинга для программы из файла" title="" id="59" name="Picture"/>
            <a:graphic>
              <a:graphicData uri="http://schemas.openxmlformats.org/drawingml/2006/picture">
                <pic:pic>
                  <pic:nvPicPr>
                    <pic:cNvPr descr="image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 листинга для программы из файла</w:t>
      </w:r>
    </w:p>
    <w:bookmarkEnd w:id="61"/>
    <w:p>
      <w:pPr>
        <w:pStyle w:val="BodyText"/>
      </w:pPr>
      <w:r>
        <w:t xml:space="preserve">Откроем файл листинга lab7-2.lst с помощью mcedit (рис. 11).</w:t>
      </w:r>
    </w:p>
    <w:bookmarkStart w:id="65" w:name="fig:011"/>
    <w:p>
      <w:pPr>
        <w:pStyle w:val="CaptionedFigure"/>
      </w:pPr>
      <w:r>
        <w:drawing>
          <wp:inline>
            <wp:extent cx="3733800" cy="152524"/>
            <wp:effectExtent b="0" l="0" r="0" t="0"/>
            <wp:docPr descr="Рис. 11: Открытие файла листинга" title="" id="63" name="Picture"/>
            <a:graphic>
              <a:graphicData uri="http://schemas.openxmlformats.org/drawingml/2006/picture">
                <pic:pic>
                  <pic:nvPicPr>
                    <pic:cNvPr descr="image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Открытие файла листинга</w:t>
      </w:r>
    </w:p>
    <w:bookmarkEnd w:id="65"/>
    <w:p>
      <w:pPr>
        <w:pStyle w:val="BodyText"/>
      </w:pPr>
      <w:r>
        <w:t xml:space="preserve">В содержимом листинга можно увидеть построчное отображение ассемблерного кода и соответствующего машинного кода, сгенерированного ассемблером. Файл листинга содержит: адреса (адреса памяти, где располагается каждая инструкция), машинный код, шестнадцатеричный (фактические машинные инструкции, сгенерированные ассемблером, отображаются в шестнадцатеричном формате) и символьную информацию (информация о символах (метках, переменных), используемых в вашем коде) (рис. 12).</w:t>
      </w:r>
    </w:p>
    <w:bookmarkStart w:id="69" w:name="fig:012"/>
    <w:p>
      <w:pPr>
        <w:pStyle w:val="CaptionedFigure"/>
      </w:pPr>
      <w:r>
        <w:drawing>
          <wp:inline>
            <wp:extent cx="3733800" cy="2625407"/>
            <wp:effectExtent b="0" l="0" r="0" t="0"/>
            <wp:docPr descr="Рис. 12: Содержимое листинга" title="" id="67" name="Picture"/>
            <a:graphic>
              <a:graphicData uri="http://schemas.openxmlformats.org/drawingml/2006/picture">
                <pic:pic>
                  <pic:nvPicPr>
                    <pic:cNvPr descr="image/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Содержимое листинга</w:t>
      </w:r>
    </w:p>
    <w:bookmarkEnd w:id="69"/>
    <w:p>
      <w:pPr>
        <w:pStyle w:val="BodyText"/>
      </w:pPr>
      <w:r>
        <w:t xml:space="preserve">Откроем файл с программой lab7-2.asm и в любой инструкции с двумя операндами</w:t>
      </w:r>
      <w:r>
        <w:t xml:space="preserve"> </w:t>
      </w:r>
      <w:r>
        <w:t xml:space="preserve">удалим один операнд, затем выполним трансляцию с получением файла листинга.</w:t>
      </w:r>
      <w:r>
        <w:t xml:space="preserve"> </w:t>
      </w:r>
      <w:r>
        <w:t xml:space="preserve">Удаление операнда из инструкции с двумя операндами создаёт синтаксическую ошибку, которую ассемблер не может разрешить. Процесс сборки завершится неудачей, что предотвратит создание объектного файла, но файл листинга всё равно будет сгенерирован с сообщениями об ошибках, указывающими на проблему (рис. 13).</w:t>
      </w:r>
    </w:p>
    <w:bookmarkStart w:id="73" w:name="fig:013"/>
    <w:p>
      <w:pPr>
        <w:pStyle w:val="CaptionedFigure"/>
      </w:pPr>
      <w:r>
        <w:drawing>
          <wp:inline>
            <wp:extent cx="3733800" cy="118288"/>
            <wp:effectExtent b="0" l="0" r="0" t="0"/>
            <wp:docPr descr="Рис. 13: Трансляция с получением файла листинга после удаления одной из операнд" title="" id="71" name="Picture"/>
            <a:graphic>
              <a:graphicData uri="http://schemas.openxmlformats.org/drawingml/2006/picture">
                <pic:pic>
                  <pic:nvPicPr>
                    <pic:cNvPr descr="image/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Трансляция с получением файла листинга после удаления одной из операнд</w:t>
      </w:r>
    </w:p>
    <w:bookmarkEnd w:id="73"/>
    <w:p>
      <w:pPr>
        <w:pStyle w:val="BodyText"/>
      </w:pPr>
      <w:r>
        <w:t xml:space="preserve">Создадим файл lab7-3.asm (рис. 14).</w:t>
      </w:r>
    </w:p>
    <w:bookmarkStart w:id="77" w:name="fig:014"/>
    <w:p>
      <w:pPr>
        <w:pStyle w:val="CaptionedFigure"/>
      </w:pPr>
      <w:r>
        <w:drawing>
          <wp:inline>
            <wp:extent cx="3733800" cy="357924"/>
            <wp:effectExtent b="0" l="0" r="0" t="0"/>
            <wp:docPr descr="Рис. 14: Создание файла" title="" id="75" name="Picture"/>
            <a:graphic>
              <a:graphicData uri="http://schemas.openxmlformats.org/drawingml/2006/picture">
                <pic:pic>
                  <pic:nvPicPr>
                    <pic:cNvPr descr="image/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77"/>
    <w:p>
      <w:pPr>
        <w:pStyle w:val="BodyText"/>
      </w:pPr>
      <w:r>
        <w:t xml:space="preserve">Напишем в полученом файле программу нахождения наименьшей из 3 целочисленных переменных a, b и c для варианта 14 (рис. 15).</w:t>
      </w:r>
    </w:p>
    <w:bookmarkStart w:id="81" w:name="fig:015"/>
    <w:p>
      <w:pPr>
        <w:pStyle w:val="CaptionedFigure"/>
      </w:pPr>
      <w:r>
        <w:drawing>
          <wp:inline>
            <wp:extent cx="3733800" cy="4002371"/>
            <wp:effectExtent b="0" l="0" r="0" t="0"/>
            <wp:docPr descr="Рис. 15: Ввод текста программы" title="" id="79" name="Picture"/>
            <a:graphic>
              <a:graphicData uri="http://schemas.openxmlformats.org/drawingml/2006/picture">
                <pic:pic>
                  <pic:nvPicPr>
                    <pic:cNvPr descr="image/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Ввод текста программы</w:t>
      </w:r>
    </w:p>
    <w:bookmarkEnd w:id="81"/>
    <w:p>
      <w:pPr>
        <w:pStyle w:val="BodyText"/>
      </w:pPr>
      <w:r>
        <w:t xml:space="preserve">Cоздадим исполняемый файл и проверим его работу (рис. 16).</w:t>
      </w:r>
    </w:p>
    <w:bookmarkStart w:id="85" w:name="fig:016"/>
    <w:p>
      <w:pPr>
        <w:pStyle w:val="CaptionedFigure"/>
      </w:pPr>
      <w:r>
        <w:drawing>
          <wp:inline>
            <wp:extent cx="3733800" cy="492515"/>
            <wp:effectExtent b="0" l="0" r="0" t="0"/>
            <wp:docPr descr="Рис. 16: Проверка работы исходного файла" title="" id="83" name="Picture"/>
            <a:graphic>
              <a:graphicData uri="http://schemas.openxmlformats.org/drawingml/2006/picture">
                <pic:pic>
                  <pic:nvPicPr>
                    <pic:cNvPr descr="image/0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исходного файла</w:t>
      </w:r>
    </w:p>
    <w:bookmarkEnd w:id="85"/>
    <w:p>
      <w:pPr>
        <w:pStyle w:val="BodyText"/>
      </w:pPr>
      <w:r>
        <w:t xml:space="preserve">Создадим файл lab7-4.asm (рис. 17).</w:t>
      </w:r>
    </w:p>
    <w:bookmarkStart w:id="89" w:name="fig:017"/>
    <w:p>
      <w:pPr>
        <w:pStyle w:val="CaptionedFigure"/>
      </w:pPr>
      <w:r>
        <w:drawing>
          <wp:inline>
            <wp:extent cx="3733800" cy="251011"/>
            <wp:effectExtent b="0" l="0" r="0" t="0"/>
            <wp:docPr descr="Рис. 17: С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0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bookmarkEnd w:id="89"/>
    <w:p>
      <w:pPr>
        <w:pStyle w:val="BodyText"/>
      </w:pPr>
      <w:r>
        <w:t xml:space="preserve">Напишем в полученном файле программу (вариант 14), которая для введенных с клавиатуры значений x и a вычисляет значение заданной функции f(x) и выводит результат вычислений (рис. 18).</w:t>
      </w:r>
    </w:p>
    <w:bookmarkStart w:id="93" w:name="fig:018"/>
    <w:p>
      <w:pPr>
        <w:pStyle w:val="CaptionedFigure"/>
      </w:pPr>
      <w:r>
        <w:drawing>
          <wp:inline>
            <wp:extent cx="3733800" cy="3913742"/>
            <wp:effectExtent b="0" l="0" r="0" t="0"/>
            <wp:docPr descr="Рис. 18: Ввод текста программы" title="" id="91" name="Picture"/>
            <a:graphic>
              <a:graphicData uri="http://schemas.openxmlformats.org/drawingml/2006/picture">
                <pic:pic>
                  <pic:nvPicPr>
                    <pic:cNvPr descr="image/0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Ввод текста программы</w:t>
      </w:r>
    </w:p>
    <w:bookmarkEnd w:id="93"/>
    <w:p>
      <w:pPr>
        <w:pStyle w:val="BodyText"/>
      </w:pPr>
      <w:r>
        <w:t xml:space="preserve">Создадим исполняемый файл и проверим его работу для значений x и a, сначала для x=2 и a=3 (рис. 19).</w:t>
      </w:r>
    </w:p>
    <w:bookmarkStart w:id="97" w:name="fig:019"/>
    <w:p>
      <w:pPr>
        <w:pStyle w:val="CaptionedFigure"/>
      </w:pPr>
      <w:r>
        <w:drawing>
          <wp:inline>
            <wp:extent cx="3733800" cy="627278"/>
            <wp:effectExtent b="0" l="0" r="0" t="0"/>
            <wp:docPr descr="Рис. 19: Проверка работы исходного файла при x=2 и a=3" title="" id="95" name="Picture"/>
            <a:graphic>
              <a:graphicData uri="http://schemas.openxmlformats.org/drawingml/2006/picture">
                <pic:pic>
                  <pic:nvPicPr>
                    <pic:cNvPr descr="image/0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исходного файла при x=2 и a=3</w:t>
      </w:r>
    </w:p>
    <w:bookmarkEnd w:id="97"/>
    <w:p>
      <w:pPr>
        <w:pStyle w:val="BodyText"/>
      </w:pPr>
      <w:r>
        <w:t xml:space="preserve">Затем проверим работу исполняемого файла для значений x=4 и a=2 (рис. 20).</w:t>
      </w:r>
    </w:p>
    <w:bookmarkStart w:id="101" w:name="fig:020"/>
    <w:p>
      <w:pPr>
        <w:pStyle w:val="CaptionedFigure"/>
      </w:pPr>
      <w:r>
        <w:drawing>
          <wp:inline>
            <wp:extent cx="3733800" cy="543446"/>
            <wp:effectExtent b="0" l="0" r="0" t="0"/>
            <wp:docPr descr="Рис. 20: Проверка работы исходного файла при x=4 и a=2" title="" id="99" name="Picture"/>
            <a:graphic>
              <a:graphicData uri="http://schemas.openxmlformats.org/drawingml/2006/picture">
                <pic:pic>
                  <pic:nvPicPr>
                    <pic:cNvPr descr="image/0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работы исходного файла при x=4 и a=2</w:t>
      </w:r>
    </w:p>
    <w:bookmarkEnd w:id="101"/>
    <w:bookmarkEnd w:id="102"/>
    <w:bookmarkStart w:id="10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рамках лабораторной работы были изучены команды условного и безусловного перехода, структура файлов листинга и особенности реализации переходов в среде NASM. Были получены практические навыки написания программ с использованием переходов.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Казначеева Кристина Никитична</dc:creator>
  <dc:language>ru-RU</dc:language>
  <cp:keywords/>
  <dcterms:created xsi:type="dcterms:W3CDTF">2024-12-04T10:51:17Z</dcterms:created>
  <dcterms:modified xsi:type="dcterms:W3CDTF">2024-12-04T10:51:17Z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