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5F36" w14:textId="77777777" w:rsidR="008F5F35" w:rsidRPr="00236E2D" w:rsidRDefault="008F5F35" w:rsidP="00055E81">
      <w:pPr>
        <w:pStyle w:val="NormalWeb"/>
        <w:spacing w:before="0" w:beforeAutospacing="0" w:after="0" w:afterAutospacing="0"/>
        <w:rPr>
          <w:bCs/>
          <w:color w:val="000000"/>
          <w:sz w:val="28"/>
        </w:rPr>
      </w:pPr>
      <w:r w:rsidRPr="00236E2D">
        <w:rPr>
          <w:bCs/>
          <w:color w:val="000000"/>
          <w:sz w:val="28"/>
        </w:rPr>
        <w:t xml:space="preserve">Nutrient Levels in Streams near New Zealand’s Lake Rotoiti </w:t>
      </w:r>
    </w:p>
    <w:p w14:paraId="5E5C791A" w14:textId="77777777" w:rsidR="008F5F35" w:rsidRDefault="008F5F35" w:rsidP="00055E81">
      <w:pPr>
        <w:pStyle w:val="NormalWeb"/>
        <w:spacing w:before="0" w:beforeAutospacing="0" w:after="0" w:afterAutospacing="0"/>
        <w:rPr>
          <w:bCs/>
          <w:color w:val="000000"/>
        </w:rPr>
      </w:pPr>
    </w:p>
    <w:p w14:paraId="1C9EB629" w14:textId="77777777" w:rsidR="00495CB2" w:rsidRDefault="00495CB2" w:rsidP="00055E81">
      <w:pPr>
        <w:pStyle w:val="NormalWeb"/>
        <w:spacing w:before="0" w:beforeAutospacing="0" w:after="0" w:afterAutospacing="0"/>
        <w:rPr>
          <w:bCs/>
          <w:color w:val="000000"/>
        </w:rPr>
      </w:pPr>
      <w:r w:rsidRPr="00114AC7">
        <w:rPr>
          <w:bCs/>
          <w:color w:val="000000"/>
        </w:rPr>
        <w:t>Katherine McFarlane, Madison Lambert, Micael Lonergan</w:t>
      </w:r>
    </w:p>
    <w:p w14:paraId="0FBF02F6" w14:textId="374F1CE4" w:rsidR="008F5F35" w:rsidRDefault="008F5F35" w:rsidP="00055E81">
      <w:pPr>
        <w:pStyle w:val="NormalWeb"/>
        <w:spacing w:before="0" w:beforeAutospacing="0" w:after="0" w:afterAutospacing="0"/>
        <w:rPr>
          <w:b/>
          <w:bCs/>
          <w:color w:val="000000"/>
        </w:rPr>
      </w:pPr>
    </w:p>
    <w:p w14:paraId="711423ED" w14:textId="2D1E27EC" w:rsidR="008B0FE7" w:rsidRPr="008B0FE7" w:rsidRDefault="008B0FE7" w:rsidP="00055E81">
      <w:pPr>
        <w:pStyle w:val="NormalWeb"/>
        <w:spacing w:before="0" w:beforeAutospacing="0" w:after="0" w:afterAutospacing="0"/>
        <w:rPr>
          <w:color w:val="000000"/>
        </w:rPr>
      </w:pPr>
      <w:r w:rsidRPr="008B0FE7">
        <w:rPr>
          <w:color w:val="000000"/>
        </w:rPr>
        <w:t>March 17, 2018</w:t>
      </w:r>
    </w:p>
    <w:p w14:paraId="78EE58D4" w14:textId="77777777" w:rsidR="008B0FE7" w:rsidRPr="008F5F35" w:rsidRDefault="008B0FE7" w:rsidP="00055E81">
      <w:pPr>
        <w:pStyle w:val="NormalWeb"/>
        <w:spacing w:before="0" w:beforeAutospacing="0" w:after="0" w:afterAutospacing="0"/>
        <w:rPr>
          <w:b/>
          <w:bCs/>
          <w:color w:val="000000"/>
        </w:rPr>
      </w:pPr>
    </w:p>
    <w:p w14:paraId="2DE15675" w14:textId="77777777" w:rsidR="008F5F35" w:rsidRPr="006A5837" w:rsidRDefault="008F5F35" w:rsidP="00055E81">
      <w:pPr>
        <w:pStyle w:val="NormalWeb"/>
        <w:spacing w:before="0" w:beforeAutospacing="0" w:after="0" w:afterAutospacing="0"/>
        <w:rPr>
          <w:b/>
          <w:bCs/>
        </w:rPr>
      </w:pPr>
      <w:r w:rsidRPr="006A5837">
        <w:rPr>
          <w:b/>
          <w:bCs/>
        </w:rPr>
        <w:t>Abstract</w:t>
      </w:r>
    </w:p>
    <w:p w14:paraId="38BE9E19" w14:textId="77777777" w:rsidR="00495CB2" w:rsidRDefault="00495CB2" w:rsidP="00055E81">
      <w:pPr>
        <w:pStyle w:val="NormalWeb"/>
        <w:spacing w:before="0" w:beforeAutospacing="0" w:after="0" w:afterAutospacing="0"/>
        <w:rPr>
          <w:bCs/>
          <w:color w:val="000000"/>
        </w:rPr>
      </w:pPr>
    </w:p>
    <w:p w14:paraId="03C3E586" w14:textId="77777777" w:rsidR="008F5F35" w:rsidRPr="006A5837" w:rsidRDefault="006A5837" w:rsidP="006A5837">
      <w:pPr>
        <w:spacing w:line="240" w:lineRule="auto"/>
        <w:rPr>
          <w:rFonts w:eastAsia="Times New Roman" w:cs="Times New Roman"/>
          <w:bCs/>
          <w:color w:val="000000"/>
          <w:szCs w:val="24"/>
        </w:rPr>
      </w:pPr>
      <w:r>
        <w:rPr>
          <w:rFonts w:eastAsia="Times New Roman" w:cs="Times New Roman"/>
          <w:bCs/>
          <w:color w:val="000000"/>
          <w:szCs w:val="24"/>
        </w:rPr>
        <w:t xml:space="preserve">New Zealand’s water quality is in question despite recent articles suggesting the country’s waterways are still clean and green. In this study, we tested water in surrounding streams near Lake Rotoiti for nitrate levels and algae health. We hypothesized that in areas such as farmland and landfills that nitrate levels would be higher and algae would respond </w:t>
      </w:r>
      <w:r w:rsidR="00236E2D">
        <w:rPr>
          <w:rFonts w:eastAsia="Times New Roman" w:cs="Times New Roman"/>
          <w:bCs/>
          <w:color w:val="000000"/>
          <w:szCs w:val="24"/>
        </w:rPr>
        <w:t xml:space="preserve">positively </w:t>
      </w:r>
      <w:r>
        <w:rPr>
          <w:rFonts w:eastAsia="Times New Roman" w:cs="Times New Roman"/>
          <w:bCs/>
          <w:color w:val="000000"/>
          <w:szCs w:val="24"/>
        </w:rPr>
        <w:t xml:space="preserve">to this. Areas upstream and downstream from farmland and landfills were examined. Traces of nitrate were found in Black Valley Streams downstream from a farm, and algae health was lower in this area. Although findings are not conclusive, it is suggested that further testing be done in this area. </w:t>
      </w:r>
    </w:p>
    <w:p w14:paraId="0D490140" w14:textId="77777777" w:rsidR="008F5F35" w:rsidRPr="00114AC7" w:rsidRDefault="008F5F35" w:rsidP="00055E81">
      <w:pPr>
        <w:pStyle w:val="NormalWeb"/>
        <w:spacing w:before="0" w:beforeAutospacing="0" w:after="0" w:afterAutospacing="0"/>
        <w:rPr>
          <w:bCs/>
          <w:color w:val="000000"/>
        </w:rPr>
      </w:pPr>
    </w:p>
    <w:p w14:paraId="44C1B73C" w14:textId="77777777" w:rsidR="00055E81" w:rsidRDefault="00055E81" w:rsidP="00055E81">
      <w:pPr>
        <w:pStyle w:val="NormalWeb"/>
        <w:spacing w:before="0" w:beforeAutospacing="0" w:after="0" w:afterAutospacing="0"/>
        <w:rPr>
          <w:b/>
          <w:bCs/>
          <w:color w:val="000000"/>
        </w:rPr>
      </w:pPr>
      <w:r>
        <w:rPr>
          <w:b/>
          <w:bCs/>
          <w:color w:val="000000"/>
        </w:rPr>
        <w:t>Introduction</w:t>
      </w:r>
    </w:p>
    <w:p w14:paraId="569F6178" w14:textId="77777777" w:rsidR="00055E81" w:rsidRDefault="00055E81" w:rsidP="00055E81">
      <w:pPr>
        <w:pStyle w:val="NormalWeb"/>
        <w:spacing w:before="0" w:beforeAutospacing="0" w:after="0" w:afterAutospacing="0"/>
      </w:pPr>
    </w:p>
    <w:p w14:paraId="3B6B2F48" w14:textId="77777777" w:rsidR="00BF6C76" w:rsidRDefault="00BF6C76" w:rsidP="00BF6C76">
      <w:pPr>
        <w:rPr>
          <w:color w:val="000000"/>
        </w:rPr>
      </w:pPr>
      <w:r>
        <w:rPr>
          <w:color w:val="000000"/>
        </w:rPr>
        <w:t xml:space="preserve">Lake Rotoiti, </w:t>
      </w:r>
      <w:r>
        <w:t>a small waterway in the Nelson Lakes National Park of New Zealand, is known for its clean water quality (</w:t>
      </w:r>
      <w:r w:rsidR="00C27A5A">
        <w:rPr>
          <w:color w:val="000000"/>
        </w:rPr>
        <w:t>Smith 1999</w:t>
      </w:r>
      <w:r>
        <w:t xml:space="preserve">). </w:t>
      </w:r>
      <w:r>
        <w:rPr>
          <w:color w:val="000000"/>
        </w:rPr>
        <w:t xml:space="preserve">Government testing on the lake, which was last done in 1999, insists that the lake was </w:t>
      </w:r>
      <w:r w:rsidR="00900216">
        <w:rPr>
          <w:color w:val="000000"/>
        </w:rPr>
        <w:t>then</w:t>
      </w:r>
      <w:r>
        <w:rPr>
          <w:color w:val="000000"/>
        </w:rPr>
        <w:t xml:space="preserve"> “virtually unaffected by human activities” and that “the quality of the lake environment ha[d] not changed significantly in the past 25 years,” implying that the lake would continue to boast clean waters in the foreseeable future (</w:t>
      </w:r>
      <w:r w:rsidR="00AD1DC9">
        <w:rPr>
          <w:color w:val="000000"/>
        </w:rPr>
        <w:t>Smith</w:t>
      </w:r>
      <w:r w:rsidR="00C27A5A">
        <w:rPr>
          <w:color w:val="000000"/>
        </w:rPr>
        <w:t xml:space="preserve"> 1999</w:t>
      </w:r>
      <w:r>
        <w:t>).</w:t>
      </w:r>
      <w:r>
        <w:rPr>
          <w:color w:val="000000"/>
        </w:rPr>
        <w:t xml:space="preserve"> Swimming is also allowed in Lake Rotoiti, which is indicative of the water quality (</w:t>
      </w:r>
      <w:r w:rsidR="00C27A5A" w:rsidRPr="00C27A5A">
        <w:rPr>
          <w:color w:val="000000"/>
        </w:rPr>
        <w:t>“N</w:t>
      </w:r>
      <w:r w:rsidR="00C27A5A">
        <w:rPr>
          <w:color w:val="000000"/>
        </w:rPr>
        <w:t>elson Lakes…” 2014</w:t>
      </w:r>
      <w:r>
        <w:rPr>
          <w:color w:val="000000"/>
        </w:rPr>
        <w:t xml:space="preserve">). These quality levels, which draw in tourists, are in keeping with that which New Zealand is famous for. The clean and green status New Zealand prides itself on, however, may be a myth. According to freshwater scientists, </w:t>
      </w:r>
      <w:r>
        <w:t>“freshwater ecosystems are degrading, more so than marine and terrestrial ecosystems, contributing to the biodiversity crisis” (Elston</w:t>
      </w:r>
      <w:r w:rsidR="00AD1DC9">
        <w:t>,</w:t>
      </w:r>
      <w:r>
        <w:t xml:space="preserve"> </w:t>
      </w:r>
      <w:r w:rsidR="00AD1DC9">
        <w:t xml:space="preserve">et al. 2014: </w:t>
      </w:r>
      <w:r>
        <w:t>5).</w:t>
      </w:r>
      <w:r w:rsidRPr="00CF2773">
        <w:rPr>
          <w:color w:val="000000"/>
        </w:rPr>
        <w:t xml:space="preserve"> A</w:t>
      </w:r>
      <w:r>
        <w:rPr>
          <w:color w:val="000000"/>
        </w:rPr>
        <w:t>nother</w:t>
      </w:r>
      <w:r w:rsidRPr="00CF2773">
        <w:rPr>
          <w:color w:val="000000"/>
        </w:rPr>
        <w:t xml:space="preserve"> resident scientist states that</w:t>
      </w:r>
      <w:r>
        <w:rPr>
          <w:color w:val="000000"/>
        </w:rPr>
        <w:t>,</w:t>
      </w:r>
      <w:r w:rsidRPr="00CF2773">
        <w:rPr>
          <w:color w:val="000000"/>
        </w:rPr>
        <w:t xml:space="preserve"> “In the figurative sense of environmental integrity, our land is much less green than we choose to pretend” (Wallace </w:t>
      </w:r>
      <w:r w:rsidR="00AD1DC9">
        <w:rPr>
          <w:color w:val="000000"/>
        </w:rPr>
        <w:t xml:space="preserve">1999: </w:t>
      </w:r>
      <w:r w:rsidRPr="00CF2773">
        <w:rPr>
          <w:color w:val="000000"/>
        </w:rPr>
        <w:t>22).</w:t>
      </w:r>
      <w:r>
        <w:rPr>
          <w:color w:val="000000"/>
        </w:rPr>
        <w:t xml:space="preserve"> Specifically in the Lake Rotoiti area, many algal blooms are present during summer times, and a study of algal growth tells that algae is most likely to grow when there are high levels of nitrate and phosphorus, both </w:t>
      </w:r>
      <w:r w:rsidR="007D62CC">
        <w:rPr>
          <w:color w:val="000000"/>
        </w:rPr>
        <w:t xml:space="preserve">of which can be </w:t>
      </w:r>
      <w:r w:rsidR="006019AD">
        <w:rPr>
          <w:color w:val="000000"/>
        </w:rPr>
        <w:t>caused by farming (“What causes…</w:t>
      </w:r>
      <w:r>
        <w:rPr>
          <w:color w:val="000000"/>
        </w:rPr>
        <w:t xml:space="preserve">”). Similarly, Black Valley Streams that lead into the lake indicate some cause for concern, for the streams are in contact with nearby farming and recreation areas that may contribute to contamination </w:t>
      </w:r>
      <w:r w:rsidRPr="00242172">
        <w:rPr>
          <w:color w:val="000000" w:themeColor="text1"/>
          <w:shd w:val="clear" w:color="auto" w:fill="FFFFFF"/>
        </w:rPr>
        <w:t>(“Water Quality Results…</w:t>
      </w:r>
      <w:r>
        <w:rPr>
          <w:color w:val="000000" w:themeColor="text1"/>
          <w:shd w:val="clear" w:color="auto" w:fill="FFFFFF"/>
        </w:rPr>
        <w:t>,</w:t>
      </w:r>
      <w:r w:rsidRPr="00242172">
        <w:rPr>
          <w:color w:val="000000" w:themeColor="text1"/>
          <w:shd w:val="clear" w:color="auto" w:fill="FFFFFF"/>
        </w:rPr>
        <w:t>”</w:t>
      </w:r>
      <w:r w:rsidR="00737334">
        <w:rPr>
          <w:color w:val="000000" w:themeColor="text1"/>
          <w:shd w:val="clear" w:color="auto" w:fill="FFFFFF"/>
        </w:rPr>
        <w:t xml:space="preserve"> 1999; Wallace 1999:</w:t>
      </w:r>
      <w:r w:rsidR="003E122C">
        <w:rPr>
          <w:color w:val="000000" w:themeColor="text1"/>
          <w:shd w:val="clear" w:color="auto" w:fill="FFFFFF"/>
        </w:rPr>
        <w:t xml:space="preserve"> </w:t>
      </w:r>
      <w:r w:rsidR="00737334">
        <w:rPr>
          <w:color w:val="000000"/>
        </w:rPr>
        <w:t>28</w:t>
      </w:r>
      <w:r>
        <w:rPr>
          <w:color w:val="000000"/>
        </w:rPr>
        <w:t>)</w:t>
      </w:r>
      <w:r w:rsidRPr="00242172">
        <w:rPr>
          <w:color w:val="000000" w:themeColor="text1"/>
          <w:shd w:val="clear" w:color="auto" w:fill="FFFFFF"/>
        </w:rPr>
        <w:t>.</w:t>
      </w:r>
      <w:r>
        <w:rPr>
          <w:color w:val="000000" w:themeColor="text1"/>
          <w:shd w:val="clear" w:color="auto" w:fill="FFFFFF"/>
        </w:rPr>
        <w:t xml:space="preserve"> As such, this experiment investigated water quality on the Black Valley Streams. </w:t>
      </w:r>
      <w:r>
        <w:t xml:space="preserve">It was believed that nitrate levels would be higher in areas downstream from land that humans had intervened </w:t>
      </w:r>
      <w:r w:rsidR="007D62CC">
        <w:t>on</w:t>
      </w:r>
      <w:r>
        <w:t>, such as farmland and landfill areas,</w:t>
      </w:r>
      <w:r w:rsidR="001E5443">
        <w:t xml:space="preserve"> and that algae would be healthier,</w:t>
      </w:r>
      <w:r>
        <w:t xml:space="preserve"> so areas upstream and downstream of these sites were tested.</w:t>
      </w:r>
    </w:p>
    <w:p w14:paraId="1A01AC35" w14:textId="77777777" w:rsidR="00BF6C76" w:rsidRDefault="00BF6C76"/>
    <w:p w14:paraId="4D3838EE" w14:textId="77777777" w:rsidR="00055E81" w:rsidRPr="00055E81" w:rsidRDefault="00055E81" w:rsidP="00055E81">
      <w:pPr>
        <w:spacing w:line="240" w:lineRule="auto"/>
        <w:rPr>
          <w:rFonts w:eastAsia="Times New Roman" w:cs="Times New Roman"/>
          <w:szCs w:val="24"/>
        </w:rPr>
      </w:pPr>
    </w:p>
    <w:p w14:paraId="00ECEDD6" w14:textId="77777777" w:rsidR="00ED7F62" w:rsidRPr="00055E81" w:rsidRDefault="00ED7F62" w:rsidP="00ED7F62">
      <w:pPr>
        <w:spacing w:line="240" w:lineRule="auto"/>
        <w:rPr>
          <w:rFonts w:eastAsia="Times New Roman" w:cs="Times New Roman"/>
          <w:szCs w:val="24"/>
        </w:rPr>
      </w:pPr>
      <w:r w:rsidRPr="00055E81">
        <w:rPr>
          <w:rFonts w:eastAsia="Times New Roman" w:cs="Times New Roman"/>
          <w:b/>
          <w:bCs/>
          <w:color w:val="000000"/>
          <w:szCs w:val="24"/>
        </w:rPr>
        <w:t>Methods</w:t>
      </w:r>
    </w:p>
    <w:p w14:paraId="1C6CE962" w14:textId="77777777" w:rsidR="00ED7F62" w:rsidRPr="00055E81" w:rsidRDefault="00ED7F62" w:rsidP="00ED7F62">
      <w:pPr>
        <w:spacing w:line="240" w:lineRule="auto"/>
        <w:rPr>
          <w:rFonts w:eastAsia="Times New Roman" w:cs="Times New Roman"/>
          <w:szCs w:val="24"/>
        </w:rPr>
      </w:pPr>
    </w:p>
    <w:p w14:paraId="194228C0" w14:textId="77777777" w:rsidR="00ED7F62" w:rsidRPr="00055E81" w:rsidRDefault="00ED7F62" w:rsidP="00ED7F62">
      <w:pPr>
        <w:spacing w:line="240" w:lineRule="auto"/>
        <w:rPr>
          <w:rFonts w:eastAsia="Times New Roman" w:cs="Times New Roman"/>
          <w:szCs w:val="24"/>
        </w:rPr>
      </w:pPr>
      <w:r w:rsidRPr="00055E81">
        <w:rPr>
          <w:rFonts w:eastAsia="Times New Roman" w:cs="Times New Roman"/>
          <w:i/>
          <w:iCs/>
          <w:color w:val="000000"/>
          <w:szCs w:val="24"/>
        </w:rPr>
        <w:t>Site Selection</w:t>
      </w:r>
    </w:p>
    <w:p w14:paraId="1A220C0E" w14:textId="77777777" w:rsidR="00ED7F62" w:rsidRPr="00055E81" w:rsidRDefault="00ED7F62" w:rsidP="00ED7F62">
      <w:pPr>
        <w:spacing w:line="240" w:lineRule="auto"/>
        <w:rPr>
          <w:rFonts w:eastAsia="Times New Roman" w:cs="Times New Roman"/>
          <w:szCs w:val="24"/>
        </w:rPr>
      </w:pPr>
    </w:p>
    <w:p w14:paraId="27353D0E" w14:textId="77777777" w:rsidR="00ED7F62" w:rsidRPr="00055E81" w:rsidRDefault="00ED7F62" w:rsidP="00ED7F62">
      <w:pPr>
        <w:spacing w:line="240" w:lineRule="auto"/>
        <w:rPr>
          <w:rFonts w:eastAsia="Times New Roman" w:cs="Times New Roman"/>
          <w:szCs w:val="24"/>
        </w:rPr>
      </w:pPr>
      <w:r w:rsidRPr="00055E81">
        <w:rPr>
          <w:rFonts w:eastAsia="Times New Roman" w:cs="Times New Roman"/>
          <w:color w:val="000000"/>
          <w:szCs w:val="24"/>
        </w:rPr>
        <w:lastRenderedPageBreak/>
        <w:t>Upon arriving in the Nelson Lakes National Park, five sites were selected fro</w:t>
      </w:r>
      <w:r>
        <w:rPr>
          <w:rFonts w:eastAsia="Times New Roman" w:cs="Times New Roman"/>
          <w:color w:val="000000"/>
          <w:szCs w:val="24"/>
        </w:rPr>
        <w:t>m nearby farmland</w:t>
      </w:r>
      <w:r w:rsidR="00787DA9">
        <w:rPr>
          <w:rFonts w:eastAsia="Times New Roman" w:cs="Times New Roman"/>
          <w:color w:val="000000"/>
          <w:szCs w:val="24"/>
        </w:rPr>
        <w:t xml:space="preserve">. Site </w:t>
      </w:r>
      <w:r w:rsidRPr="00055E81">
        <w:rPr>
          <w:rFonts w:eastAsia="Times New Roman" w:cs="Times New Roman"/>
          <w:color w:val="000000"/>
          <w:szCs w:val="24"/>
        </w:rPr>
        <w:t xml:space="preserve">one </w:t>
      </w:r>
      <w:r w:rsidR="007D62CC">
        <w:rPr>
          <w:rFonts w:eastAsia="Times New Roman" w:cs="Times New Roman"/>
          <w:color w:val="000000"/>
          <w:szCs w:val="24"/>
        </w:rPr>
        <w:t>was upstream from the farm;</w:t>
      </w:r>
      <w:r w:rsidRPr="00055E81">
        <w:rPr>
          <w:rFonts w:eastAsia="Times New Roman" w:cs="Times New Roman"/>
          <w:color w:val="000000"/>
          <w:szCs w:val="24"/>
        </w:rPr>
        <w:t xml:space="preserve"> </w:t>
      </w:r>
      <w:r w:rsidR="00787DA9">
        <w:rPr>
          <w:rFonts w:eastAsia="Times New Roman" w:cs="Times New Roman"/>
          <w:color w:val="000000"/>
          <w:szCs w:val="24"/>
        </w:rPr>
        <w:t xml:space="preserve">site </w:t>
      </w:r>
      <w:r w:rsidR="007D62CC">
        <w:rPr>
          <w:rFonts w:eastAsia="Times New Roman" w:cs="Times New Roman"/>
          <w:color w:val="000000"/>
          <w:szCs w:val="24"/>
        </w:rPr>
        <w:t>two was located</w:t>
      </w:r>
      <w:r w:rsidRPr="00055E81">
        <w:rPr>
          <w:rFonts w:eastAsia="Times New Roman" w:cs="Times New Roman"/>
          <w:color w:val="000000"/>
          <w:szCs w:val="24"/>
        </w:rPr>
        <w:t xml:space="preserve"> on the farm </w:t>
      </w:r>
      <w:r w:rsidR="00787DA9">
        <w:rPr>
          <w:rFonts w:eastAsia="Times New Roman" w:cs="Times New Roman"/>
          <w:color w:val="000000"/>
          <w:szCs w:val="24"/>
        </w:rPr>
        <w:t>outside of th</w:t>
      </w:r>
      <w:r w:rsidR="007D62CC">
        <w:rPr>
          <w:rFonts w:eastAsia="Times New Roman" w:cs="Times New Roman"/>
          <w:color w:val="000000"/>
          <w:szCs w:val="24"/>
        </w:rPr>
        <w:t>e fencing surrounding a pasture;</w:t>
      </w:r>
      <w:r w:rsidR="00787DA9">
        <w:rPr>
          <w:rFonts w:eastAsia="Times New Roman" w:cs="Times New Roman"/>
          <w:color w:val="000000"/>
          <w:szCs w:val="24"/>
        </w:rPr>
        <w:t xml:space="preserve"> </w:t>
      </w:r>
      <w:r w:rsidR="007D62CC">
        <w:rPr>
          <w:rFonts w:eastAsia="Times New Roman" w:cs="Times New Roman"/>
          <w:color w:val="000000"/>
          <w:szCs w:val="24"/>
        </w:rPr>
        <w:t>site three at a landfill;</w:t>
      </w:r>
      <w:r w:rsidR="00787DA9">
        <w:rPr>
          <w:rFonts w:eastAsia="Times New Roman" w:cs="Times New Roman"/>
          <w:color w:val="000000"/>
          <w:szCs w:val="24"/>
        </w:rPr>
        <w:t xml:space="preserve"> site four at the bottom of the neighborhood </w:t>
      </w:r>
      <w:r w:rsidR="007D62CC">
        <w:rPr>
          <w:rFonts w:eastAsia="Times New Roman" w:cs="Times New Roman"/>
          <w:color w:val="000000"/>
          <w:szCs w:val="24"/>
        </w:rPr>
        <w:t>downstream from the farm;</w:t>
      </w:r>
      <w:r w:rsidR="00787DA9">
        <w:rPr>
          <w:rFonts w:eastAsia="Times New Roman" w:cs="Times New Roman"/>
          <w:color w:val="000000"/>
          <w:szCs w:val="24"/>
        </w:rPr>
        <w:t xml:space="preserve"> and site five inside a pasture area</w:t>
      </w:r>
      <w:r w:rsidR="007D62CC">
        <w:rPr>
          <w:rFonts w:eastAsia="Times New Roman" w:cs="Times New Roman"/>
          <w:color w:val="000000"/>
          <w:szCs w:val="24"/>
        </w:rPr>
        <w:t xml:space="preserve"> on the farm</w:t>
      </w:r>
      <w:r w:rsidR="00236E2D">
        <w:rPr>
          <w:rFonts w:eastAsia="Times New Roman" w:cs="Times New Roman"/>
          <w:color w:val="000000"/>
          <w:szCs w:val="24"/>
        </w:rPr>
        <w:t>l</w:t>
      </w:r>
      <w:r w:rsidR="007D62CC">
        <w:rPr>
          <w:rFonts w:eastAsia="Times New Roman" w:cs="Times New Roman"/>
          <w:color w:val="000000"/>
          <w:szCs w:val="24"/>
        </w:rPr>
        <w:t>and</w:t>
      </w:r>
      <w:r w:rsidR="00787DA9">
        <w:rPr>
          <w:rFonts w:eastAsia="Times New Roman" w:cs="Times New Roman"/>
          <w:color w:val="000000"/>
          <w:szCs w:val="24"/>
        </w:rPr>
        <w:t xml:space="preserve">. </w:t>
      </w:r>
      <w:r w:rsidRPr="00055E81">
        <w:rPr>
          <w:rFonts w:eastAsia="Times New Roman" w:cs="Times New Roman"/>
          <w:color w:val="000000"/>
          <w:szCs w:val="24"/>
        </w:rPr>
        <w:t xml:space="preserve">All sites were selected with the assistance and permission of the </w:t>
      </w:r>
      <w:proofErr w:type="spellStart"/>
      <w:r w:rsidRPr="00055E81">
        <w:rPr>
          <w:rFonts w:eastAsia="Times New Roman" w:cs="Times New Roman"/>
          <w:color w:val="000000"/>
          <w:szCs w:val="24"/>
        </w:rPr>
        <w:t>Borlases</w:t>
      </w:r>
      <w:proofErr w:type="spellEnd"/>
      <w:r w:rsidRPr="00055E81">
        <w:rPr>
          <w:rFonts w:eastAsia="Times New Roman" w:cs="Times New Roman"/>
          <w:color w:val="000000"/>
          <w:szCs w:val="24"/>
        </w:rPr>
        <w:t>, who own the Borlase farm</w:t>
      </w:r>
      <w:r w:rsidR="003E59B1">
        <w:rPr>
          <w:rFonts w:eastAsia="Times New Roman" w:cs="Times New Roman"/>
          <w:color w:val="000000"/>
          <w:szCs w:val="24"/>
        </w:rPr>
        <w:t>,</w:t>
      </w:r>
      <w:r w:rsidR="007D62CC">
        <w:rPr>
          <w:rFonts w:eastAsia="Times New Roman" w:cs="Times New Roman"/>
          <w:color w:val="000000"/>
          <w:szCs w:val="24"/>
        </w:rPr>
        <w:t xml:space="preserve"> at which the study took place</w:t>
      </w:r>
      <w:r w:rsidRPr="00055E81">
        <w:rPr>
          <w:rFonts w:eastAsia="Times New Roman" w:cs="Times New Roman"/>
          <w:color w:val="000000"/>
          <w:szCs w:val="24"/>
        </w:rPr>
        <w:t xml:space="preserve">. </w:t>
      </w:r>
    </w:p>
    <w:p w14:paraId="40741A9D" w14:textId="77777777" w:rsidR="00ED7F62" w:rsidRPr="00055E81" w:rsidRDefault="00ED7F62" w:rsidP="00ED7F62">
      <w:pPr>
        <w:spacing w:line="240" w:lineRule="auto"/>
        <w:rPr>
          <w:rFonts w:eastAsia="Times New Roman" w:cs="Times New Roman"/>
          <w:szCs w:val="24"/>
        </w:rPr>
      </w:pPr>
    </w:p>
    <w:p w14:paraId="412DD708" w14:textId="77777777" w:rsidR="00ED7F62" w:rsidRPr="00055E81" w:rsidRDefault="00ED7F62" w:rsidP="00ED7F62">
      <w:pPr>
        <w:spacing w:line="240" w:lineRule="auto"/>
        <w:rPr>
          <w:rFonts w:eastAsia="Times New Roman" w:cs="Times New Roman"/>
          <w:szCs w:val="24"/>
        </w:rPr>
      </w:pPr>
      <w:r w:rsidRPr="00055E81">
        <w:rPr>
          <w:rFonts w:eastAsia="Times New Roman" w:cs="Times New Roman"/>
          <w:i/>
          <w:iCs/>
          <w:color w:val="000000"/>
          <w:szCs w:val="24"/>
        </w:rPr>
        <w:t>Water Collection</w:t>
      </w:r>
    </w:p>
    <w:p w14:paraId="169F35E9" w14:textId="77777777" w:rsidR="00ED7F62" w:rsidRPr="00055E81" w:rsidRDefault="00ED7F62" w:rsidP="00ED7F62">
      <w:pPr>
        <w:spacing w:line="240" w:lineRule="auto"/>
        <w:rPr>
          <w:rFonts w:eastAsia="Times New Roman" w:cs="Times New Roman"/>
          <w:szCs w:val="24"/>
        </w:rPr>
      </w:pPr>
    </w:p>
    <w:p w14:paraId="74E3E39D" w14:textId="77777777" w:rsidR="00ED7F62" w:rsidRPr="00055E81" w:rsidRDefault="00ED7F62" w:rsidP="00ED7F62">
      <w:pPr>
        <w:spacing w:line="240" w:lineRule="auto"/>
        <w:rPr>
          <w:rFonts w:eastAsia="Times New Roman" w:cs="Times New Roman"/>
          <w:szCs w:val="24"/>
        </w:rPr>
      </w:pPr>
      <w:r w:rsidRPr="00055E81">
        <w:rPr>
          <w:rFonts w:eastAsia="Times New Roman" w:cs="Times New Roman"/>
          <w:color w:val="000000"/>
          <w:szCs w:val="24"/>
        </w:rPr>
        <w:t>Over the course of three days, three 1.5 mL bottles full of water</w:t>
      </w:r>
      <w:r>
        <w:rPr>
          <w:rFonts w:eastAsia="Times New Roman" w:cs="Times New Roman"/>
          <w:color w:val="000000"/>
          <w:szCs w:val="24"/>
        </w:rPr>
        <w:t xml:space="preserve"> were collected</w:t>
      </w:r>
      <w:r w:rsidRPr="00055E81">
        <w:rPr>
          <w:rFonts w:eastAsia="Times New Roman" w:cs="Times New Roman"/>
          <w:color w:val="000000"/>
          <w:szCs w:val="24"/>
        </w:rPr>
        <w:t xml:space="preserve"> from each of the five sites </w:t>
      </w:r>
      <w:r>
        <w:rPr>
          <w:rFonts w:eastAsia="Times New Roman" w:cs="Times New Roman"/>
          <w:color w:val="000000"/>
          <w:szCs w:val="24"/>
        </w:rPr>
        <w:t xml:space="preserve">that </w:t>
      </w:r>
      <w:r w:rsidR="007D62CC">
        <w:rPr>
          <w:rFonts w:eastAsia="Times New Roman" w:cs="Times New Roman"/>
          <w:color w:val="000000"/>
          <w:szCs w:val="24"/>
        </w:rPr>
        <w:t>had been</w:t>
      </w:r>
      <w:r w:rsidRPr="00055E81">
        <w:rPr>
          <w:rFonts w:eastAsia="Times New Roman" w:cs="Times New Roman"/>
          <w:color w:val="000000"/>
          <w:szCs w:val="24"/>
        </w:rPr>
        <w:t xml:space="preserve"> chosen. The three collection spots </w:t>
      </w:r>
      <w:r>
        <w:rPr>
          <w:rFonts w:eastAsia="Times New Roman" w:cs="Times New Roman"/>
          <w:color w:val="000000"/>
          <w:szCs w:val="24"/>
        </w:rPr>
        <w:t xml:space="preserve">at each site </w:t>
      </w:r>
      <w:r w:rsidRPr="00055E81">
        <w:rPr>
          <w:rFonts w:eastAsia="Times New Roman" w:cs="Times New Roman"/>
          <w:color w:val="000000"/>
          <w:szCs w:val="24"/>
        </w:rPr>
        <w:t xml:space="preserve">were close together (within </w:t>
      </w:r>
      <w:r w:rsidR="007D62CC">
        <w:rPr>
          <w:rFonts w:eastAsia="Times New Roman" w:cs="Times New Roman"/>
          <w:color w:val="000000"/>
          <w:szCs w:val="24"/>
        </w:rPr>
        <w:t>three</w:t>
      </w:r>
      <w:r w:rsidRPr="00055E81">
        <w:rPr>
          <w:rFonts w:eastAsia="Times New Roman" w:cs="Times New Roman"/>
          <w:color w:val="000000"/>
          <w:szCs w:val="24"/>
        </w:rPr>
        <w:t xml:space="preserve"> feet</w:t>
      </w:r>
      <w:r w:rsidR="007D62CC">
        <w:rPr>
          <w:rFonts w:eastAsia="Times New Roman" w:cs="Times New Roman"/>
          <w:color w:val="000000"/>
          <w:szCs w:val="24"/>
        </w:rPr>
        <w:t xml:space="preserve"> apart</w:t>
      </w:r>
      <w:r w:rsidRPr="00055E81">
        <w:rPr>
          <w:rFonts w:eastAsia="Times New Roman" w:cs="Times New Roman"/>
          <w:color w:val="000000"/>
          <w:szCs w:val="24"/>
        </w:rPr>
        <w:t xml:space="preserve">). The bottles were then brought back to sit in coolers for </w:t>
      </w:r>
      <w:r>
        <w:rPr>
          <w:rFonts w:eastAsia="Times New Roman" w:cs="Times New Roman"/>
          <w:color w:val="000000"/>
          <w:szCs w:val="24"/>
        </w:rPr>
        <w:t xml:space="preserve">one </w:t>
      </w:r>
      <w:r w:rsidRPr="00055E81">
        <w:rPr>
          <w:rFonts w:eastAsia="Times New Roman" w:cs="Times New Roman"/>
          <w:color w:val="000000"/>
          <w:szCs w:val="24"/>
        </w:rPr>
        <w:t xml:space="preserve">to </w:t>
      </w:r>
      <w:r>
        <w:rPr>
          <w:rFonts w:eastAsia="Times New Roman" w:cs="Times New Roman"/>
          <w:color w:val="000000"/>
          <w:szCs w:val="24"/>
        </w:rPr>
        <w:t>two</w:t>
      </w:r>
      <w:r w:rsidRPr="00055E81">
        <w:rPr>
          <w:rFonts w:eastAsia="Times New Roman" w:cs="Times New Roman"/>
          <w:color w:val="000000"/>
          <w:szCs w:val="24"/>
        </w:rPr>
        <w:t xml:space="preserve"> hours before testing began.</w:t>
      </w:r>
    </w:p>
    <w:p w14:paraId="659FF22C" w14:textId="77777777" w:rsidR="00ED7F62" w:rsidRPr="00055E81" w:rsidRDefault="00ED7F62" w:rsidP="00ED7F62">
      <w:pPr>
        <w:spacing w:line="240" w:lineRule="auto"/>
        <w:rPr>
          <w:rFonts w:eastAsia="Times New Roman" w:cs="Times New Roman"/>
          <w:szCs w:val="24"/>
        </w:rPr>
      </w:pPr>
    </w:p>
    <w:p w14:paraId="441A70CE" w14:textId="77777777" w:rsidR="00ED7F62" w:rsidRPr="00055E81" w:rsidRDefault="00ED7F62" w:rsidP="00ED7F62">
      <w:pPr>
        <w:spacing w:line="240" w:lineRule="auto"/>
        <w:rPr>
          <w:rFonts w:eastAsia="Times New Roman" w:cs="Times New Roman"/>
          <w:szCs w:val="24"/>
        </w:rPr>
      </w:pPr>
      <w:r w:rsidRPr="00055E81">
        <w:rPr>
          <w:rFonts w:eastAsia="Times New Roman" w:cs="Times New Roman"/>
          <w:i/>
          <w:iCs/>
          <w:color w:val="000000"/>
          <w:szCs w:val="24"/>
        </w:rPr>
        <w:t>Water Testing</w:t>
      </w:r>
    </w:p>
    <w:p w14:paraId="45665B1D" w14:textId="77777777" w:rsidR="00ED7F62" w:rsidRPr="00055E81" w:rsidRDefault="00ED7F62" w:rsidP="00ED7F62">
      <w:pPr>
        <w:spacing w:line="240" w:lineRule="auto"/>
        <w:rPr>
          <w:rFonts w:eastAsia="Times New Roman" w:cs="Times New Roman"/>
          <w:szCs w:val="24"/>
        </w:rPr>
      </w:pPr>
    </w:p>
    <w:p w14:paraId="02C23DEE" w14:textId="77777777" w:rsidR="00ED7F62" w:rsidRDefault="00ED7F62" w:rsidP="00ED7F62">
      <w:pPr>
        <w:spacing w:line="240" w:lineRule="auto"/>
        <w:rPr>
          <w:rFonts w:eastAsia="Times New Roman" w:cs="Times New Roman"/>
          <w:color w:val="000000"/>
          <w:szCs w:val="24"/>
        </w:rPr>
      </w:pPr>
      <w:r w:rsidRPr="00055E81">
        <w:rPr>
          <w:rFonts w:eastAsia="Times New Roman" w:cs="Times New Roman"/>
          <w:color w:val="000000"/>
          <w:szCs w:val="24"/>
        </w:rPr>
        <w:t xml:space="preserve">After the sediment and nutrients were allowed to settle within the bottles, they were brought out for testing. </w:t>
      </w:r>
      <w:r>
        <w:rPr>
          <w:rFonts w:eastAsia="Times New Roman" w:cs="Times New Roman"/>
          <w:color w:val="000000"/>
          <w:szCs w:val="24"/>
        </w:rPr>
        <w:t xml:space="preserve">API </w:t>
      </w:r>
      <w:r w:rsidR="00787DA9">
        <w:rPr>
          <w:rFonts w:eastAsia="Times New Roman" w:cs="Times New Roman"/>
          <w:color w:val="000000"/>
          <w:szCs w:val="24"/>
        </w:rPr>
        <w:t>Freshwater Master Test</w:t>
      </w:r>
      <w:r>
        <w:rPr>
          <w:rFonts w:eastAsia="Times New Roman" w:cs="Times New Roman"/>
          <w:color w:val="000000"/>
          <w:szCs w:val="24"/>
        </w:rPr>
        <w:t xml:space="preserve"> Kits were used to test for levels of pH, high range pH, ammonia, nitrite, and nitrate. All testing was done per the manufacturer’s instructions.</w:t>
      </w:r>
    </w:p>
    <w:p w14:paraId="70CE977E" w14:textId="77777777" w:rsidR="00ED7F62" w:rsidRPr="00055E81" w:rsidRDefault="00ED7F62" w:rsidP="00ED7F62">
      <w:pPr>
        <w:spacing w:line="240" w:lineRule="auto"/>
        <w:rPr>
          <w:rFonts w:eastAsia="Times New Roman" w:cs="Times New Roman"/>
          <w:szCs w:val="24"/>
        </w:rPr>
      </w:pPr>
    </w:p>
    <w:p w14:paraId="4096BA48" w14:textId="77777777" w:rsidR="00ED7F62" w:rsidRDefault="00ED7F62" w:rsidP="00ED7F62">
      <w:pPr>
        <w:spacing w:line="240" w:lineRule="auto"/>
        <w:rPr>
          <w:rFonts w:eastAsia="Times New Roman" w:cs="Times New Roman"/>
          <w:color w:val="000000"/>
          <w:szCs w:val="24"/>
        </w:rPr>
      </w:pPr>
      <w:r w:rsidRPr="00055E81">
        <w:rPr>
          <w:rFonts w:eastAsia="Times New Roman" w:cs="Times New Roman"/>
          <w:color w:val="000000"/>
          <w:szCs w:val="24"/>
        </w:rPr>
        <w:t xml:space="preserve">After this, still using the sunlight deprived water, </w:t>
      </w:r>
      <w:r>
        <w:rPr>
          <w:rFonts w:eastAsia="Times New Roman" w:cs="Times New Roman"/>
          <w:color w:val="000000"/>
          <w:szCs w:val="24"/>
        </w:rPr>
        <w:t xml:space="preserve">the bottles were taken out and the majority of the water was drained </w:t>
      </w:r>
      <w:r w:rsidR="004F4AAA">
        <w:rPr>
          <w:rFonts w:eastAsia="Times New Roman" w:cs="Times New Roman"/>
          <w:color w:val="000000"/>
          <w:szCs w:val="24"/>
        </w:rPr>
        <w:t>off</w:t>
      </w:r>
      <w:r>
        <w:rPr>
          <w:rFonts w:eastAsia="Times New Roman" w:cs="Times New Roman"/>
          <w:color w:val="000000"/>
          <w:szCs w:val="24"/>
        </w:rPr>
        <w:t xml:space="preserve"> so</w:t>
      </w:r>
      <w:r w:rsidRPr="00055E81">
        <w:rPr>
          <w:rFonts w:eastAsia="Times New Roman" w:cs="Times New Roman"/>
          <w:color w:val="000000"/>
          <w:szCs w:val="24"/>
        </w:rPr>
        <w:t xml:space="preserve"> the water left at the bottom that held much of the settled life</w:t>
      </w:r>
      <w:r>
        <w:rPr>
          <w:rFonts w:eastAsia="Times New Roman" w:cs="Times New Roman"/>
          <w:color w:val="000000"/>
          <w:szCs w:val="24"/>
        </w:rPr>
        <w:t xml:space="preserve"> could be accessed</w:t>
      </w:r>
      <w:r w:rsidRPr="00055E81">
        <w:rPr>
          <w:rFonts w:eastAsia="Times New Roman" w:cs="Times New Roman"/>
          <w:color w:val="000000"/>
          <w:szCs w:val="24"/>
        </w:rPr>
        <w:t xml:space="preserve">. 3 mL was then extracted and put into another test tube and placed inside the Pulse Amplitude Modulated (PAM) Fluorometer. The PAM </w:t>
      </w:r>
      <w:r>
        <w:rPr>
          <w:rFonts w:eastAsia="Times New Roman" w:cs="Times New Roman"/>
          <w:color w:val="000000"/>
          <w:szCs w:val="24"/>
        </w:rPr>
        <w:t xml:space="preserve">was </w:t>
      </w:r>
      <w:r w:rsidRPr="00055E81">
        <w:rPr>
          <w:rFonts w:eastAsia="Times New Roman" w:cs="Times New Roman"/>
          <w:color w:val="000000"/>
          <w:szCs w:val="24"/>
        </w:rPr>
        <w:t xml:space="preserve">then </w:t>
      </w:r>
      <w:r>
        <w:rPr>
          <w:rFonts w:eastAsia="Times New Roman" w:cs="Times New Roman"/>
          <w:color w:val="000000"/>
          <w:szCs w:val="24"/>
        </w:rPr>
        <w:t xml:space="preserve">used to </w:t>
      </w:r>
      <w:r w:rsidRPr="00055E81">
        <w:rPr>
          <w:rFonts w:eastAsia="Times New Roman" w:cs="Times New Roman"/>
          <w:color w:val="000000"/>
          <w:szCs w:val="24"/>
        </w:rPr>
        <w:t xml:space="preserve">test this water by </w:t>
      </w:r>
      <w:r>
        <w:rPr>
          <w:rFonts w:eastAsia="Times New Roman" w:cs="Times New Roman"/>
          <w:color w:val="000000"/>
          <w:szCs w:val="24"/>
        </w:rPr>
        <w:t>exposing</w:t>
      </w:r>
      <w:r w:rsidRPr="00055E81">
        <w:rPr>
          <w:rFonts w:eastAsia="Times New Roman" w:cs="Times New Roman"/>
          <w:color w:val="000000"/>
          <w:szCs w:val="24"/>
        </w:rPr>
        <w:t xml:space="preserve"> </w:t>
      </w:r>
      <w:r>
        <w:rPr>
          <w:rFonts w:eastAsia="Times New Roman" w:cs="Times New Roman"/>
          <w:color w:val="000000"/>
          <w:szCs w:val="24"/>
        </w:rPr>
        <w:t>the test tube to</w:t>
      </w:r>
      <w:r w:rsidRPr="00055E81">
        <w:rPr>
          <w:rFonts w:eastAsia="Times New Roman" w:cs="Times New Roman"/>
          <w:color w:val="000000"/>
          <w:szCs w:val="24"/>
        </w:rPr>
        <w:t xml:space="preserve"> differing amounts of light</w:t>
      </w:r>
      <w:r w:rsidR="007D62CC">
        <w:rPr>
          <w:rFonts w:eastAsia="Times New Roman" w:cs="Times New Roman"/>
          <w:color w:val="000000"/>
          <w:szCs w:val="24"/>
        </w:rPr>
        <w:t>.</w:t>
      </w:r>
      <w:r w:rsidRPr="00055E81">
        <w:rPr>
          <w:rFonts w:eastAsia="Times New Roman" w:cs="Times New Roman"/>
          <w:color w:val="000000"/>
          <w:szCs w:val="24"/>
        </w:rPr>
        <w:t xml:space="preserve"> </w:t>
      </w:r>
      <w:r w:rsidR="007D62CC">
        <w:rPr>
          <w:rFonts w:eastAsia="Times New Roman" w:cs="Times New Roman"/>
          <w:color w:val="000000"/>
          <w:szCs w:val="24"/>
        </w:rPr>
        <w:t>A</w:t>
      </w:r>
      <w:r w:rsidRPr="00055E81">
        <w:rPr>
          <w:rFonts w:eastAsia="Times New Roman" w:cs="Times New Roman"/>
          <w:color w:val="000000"/>
          <w:szCs w:val="24"/>
        </w:rPr>
        <w:t xml:space="preserve"> </w:t>
      </w:r>
      <w:r w:rsidR="007C6FF6">
        <w:rPr>
          <w:rFonts w:eastAsia="Times New Roman" w:cs="Times New Roman"/>
          <w:color w:val="000000"/>
          <w:szCs w:val="24"/>
        </w:rPr>
        <w:t>relative light c</w:t>
      </w:r>
      <w:r>
        <w:rPr>
          <w:rFonts w:eastAsia="Times New Roman" w:cs="Times New Roman"/>
          <w:color w:val="000000"/>
          <w:szCs w:val="24"/>
        </w:rPr>
        <w:t>urve (RLC)</w:t>
      </w:r>
      <w:r w:rsidR="007D62CC">
        <w:rPr>
          <w:rFonts w:eastAsia="Times New Roman" w:cs="Times New Roman"/>
          <w:color w:val="000000"/>
          <w:szCs w:val="24"/>
        </w:rPr>
        <w:t xml:space="preserve"> was the</w:t>
      </w:r>
      <w:r w:rsidR="007C6FF6">
        <w:rPr>
          <w:rFonts w:eastAsia="Times New Roman" w:cs="Times New Roman"/>
          <w:color w:val="000000"/>
          <w:szCs w:val="24"/>
        </w:rPr>
        <w:t>n</w:t>
      </w:r>
      <w:r w:rsidR="007D62CC">
        <w:rPr>
          <w:rFonts w:eastAsia="Times New Roman" w:cs="Times New Roman"/>
          <w:color w:val="000000"/>
          <w:szCs w:val="24"/>
        </w:rPr>
        <w:t xml:space="preserve"> output by the software</w:t>
      </w:r>
      <w:r w:rsidRPr="00055E81">
        <w:rPr>
          <w:rFonts w:eastAsia="Times New Roman" w:cs="Times New Roman"/>
          <w:color w:val="000000"/>
          <w:szCs w:val="24"/>
        </w:rPr>
        <w:t xml:space="preserve">. </w:t>
      </w:r>
    </w:p>
    <w:p w14:paraId="71753026" w14:textId="77777777" w:rsidR="00ED7F62" w:rsidRDefault="00ED7F62" w:rsidP="00ED7F62">
      <w:pPr>
        <w:spacing w:line="240" w:lineRule="auto"/>
        <w:rPr>
          <w:rFonts w:eastAsia="Times New Roman" w:cs="Times New Roman"/>
          <w:color w:val="000000"/>
          <w:szCs w:val="24"/>
        </w:rPr>
      </w:pPr>
    </w:p>
    <w:p w14:paraId="37C51366" w14:textId="77777777" w:rsidR="00ED7F62" w:rsidRPr="0094122F" w:rsidRDefault="00ED7F62" w:rsidP="00ED7F62">
      <w:pPr>
        <w:spacing w:line="240" w:lineRule="auto"/>
        <w:rPr>
          <w:rFonts w:eastAsia="Times New Roman" w:cs="Times New Roman"/>
          <w:color w:val="000000"/>
          <w:szCs w:val="24"/>
        </w:rPr>
      </w:pPr>
      <w:r>
        <w:rPr>
          <w:rFonts w:eastAsia="Times New Roman" w:cs="Times New Roman"/>
          <w:color w:val="000000"/>
          <w:szCs w:val="24"/>
        </w:rPr>
        <w:t xml:space="preserve">Then, outlier data points were taken out to ensure accuracy of the data, and </w:t>
      </w:r>
      <w:r w:rsidR="007D62CC">
        <w:rPr>
          <w:rFonts w:eastAsia="Times New Roman" w:cs="Times New Roman"/>
          <w:color w:val="000000"/>
          <w:szCs w:val="24"/>
        </w:rPr>
        <w:t>through ANOVA tests</w:t>
      </w:r>
      <w:r w:rsidR="00A32F6B">
        <w:rPr>
          <w:rFonts w:eastAsia="Times New Roman" w:cs="Times New Roman"/>
          <w:color w:val="000000"/>
          <w:szCs w:val="24"/>
        </w:rPr>
        <w:t xml:space="preserve"> alpha, Pmax</w:t>
      </w:r>
      <w:r>
        <w:rPr>
          <w:rFonts w:eastAsia="Times New Roman" w:cs="Times New Roman"/>
          <w:color w:val="000000"/>
          <w:szCs w:val="24"/>
        </w:rPr>
        <w:t>, and R</w:t>
      </w:r>
      <w:r>
        <w:rPr>
          <w:rFonts w:eastAsia="Times New Roman" w:cs="Times New Roman"/>
          <w:color w:val="000000"/>
          <w:szCs w:val="24"/>
          <w:vertAlign w:val="superscript"/>
        </w:rPr>
        <w:t xml:space="preserve">2 </w:t>
      </w:r>
      <w:r w:rsidRPr="0094122F">
        <w:rPr>
          <w:rFonts w:eastAsia="Times New Roman" w:cs="Times New Roman"/>
          <w:color w:val="000000"/>
          <w:szCs w:val="24"/>
        </w:rPr>
        <w:t xml:space="preserve">values </w:t>
      </w:r>
      <w:r>
        <w:rPr>
          <w:rFonts w:eastAsia="Times New Roman" w:cs="Times New Roman"/>
          <w:color w:val="000000"/>
          <w:szCs w:val="24"/>
        </w:rPr>
        <w:t>were determined for each of the three samples taken from the five sites. For each site, the data from the three samples was averaged so that sites had a single alpha, P</w:t>
      </w:r>
      <w:r w:rsidR="00A32F6B">
        <w:rPr>
          <w:rFonts w:eastAsia="Times New Roman" w:cs="Times New Roman"/>
          <w:color w:val="000000"/>
          <w:szCs w:val="24"/>
        </w:rPr>
        <w:t>max</w:t>
      </w:r>
      <w:r>
        <w:rPr>
          <w:rFonts w:eastAsia="Times New Roman" w:cs="Times New Roman"/>
          <w:color w:val="000000"/>
          <w:szCs w:val="24"/>
        </w:rPr>
        <w:t>, and R</w:t>
      </w:r>
      <w:r>
        <w:rPr>
          <w:rFonts w:eastAsia="Times New Roman" w:cs="Times New Roman"/>
          <w:color w:val="000000"/>
          <w:szCs w:val="24"/>
          <w:vertAlign w:val="superscript"/>
        </w:rPr>
        <w:t xml:space="preserve">2 </w:t>
      </w:r>
      <w:r>
        <w:rPr>
          <w:rFonts w:eastAsia="Times New Roman" w:cs="Times New Roman"/>
          <w:color w:val="000000"/>
          <w:szCs w:val="24"/>
        </w:rPr>
        <w:t>value. Standard deviation was also generated for alpha and P</w:t>
      </w:r>
      <w:r w:rsidR="00A32F6B">
        <w:rPr>
          <w:rFonts w:eastAsia="Times New Roman" w:cs="Times New Roman"/>
          <w:color w:val="000000"/>
          <w:szCs w:val="24"/>
        </w:rPr>
        <w:t>max</w:t>
      </w:r>
      <w:r>
        <w:rPr>
          <w:rFonts w:eastAsia="Times New Roman" w:cs="Times New Roman"/>
          <w:color w:val="000000"/>
          <w:szCs w:val="24"/>
        </w:rPr>
        <w:t xml:space="preserve"> values. </w:t>
      </w:r>
    </w:p>
    <w:p w14:paraId="1E85F19F" w14:textId="77777777" w:rsidR="00787DA9" w:rsidRDefault="00787DA9">
      <w:pPr>
        <w:rPr>
          <w:rFonts w:eastAsia="Times New Roman" w:cs="Times New Roman"/>
          <w:szCs w:val="24"/>
        </w:rPr>
      </w:pPr>
      <w:r>
        <w:rPr>
          <w:rFonts w:eastAsia="Times New Roman" w:cs="Times New Roman"/>
          <w:szCs w:val="24"/>
        </w:rPr>
        <w:br w:type="page"/>
      </w:r>
    </w:p>
    <w:p w14:paraId="139311C5" w14:textId="77777777" w:rsidR="004D557D" w:rsidRPr="00055E81" w:rsidRDefault="004D557D" w:rsidP="00055E81">
      <w:pPr>
        <w:spacing w:line="240" w:lineRule="auto"/>
        <w:rPr>
          <w:rFonts w:eastAsia="Times New Roman" w:cs="Times New Roman"/>
          <w:szCs w:val="24"/>
        </w:rPr>
      </w:pPr>
    </w:p>
    <w:p w14:paraId="0C1D5E1A" w14:textId="77777777" w:rsidR="00055E81" w:rsidRDefault="00055E81" w:rsidP="00055E81">
      <w:pPr>
        <w:spacing w:line="240" w:lineRule="auto"/>
        <w:rPr>
          <w:rFonts w:eastAsia="Times New Roman" w:cs="Times New Roman"/>
          <w:b/>
          <w:bCs/>
          <w:color w:val="000000"/>
          <w:szCs w:val="24"/>
        </w:rPr>
      </w:pPr>
      <w:r w:rsidRPr="00055E81">
        <w:rPr>
          <w:rFonts w:eastAsia="Times New Roman" w:cs="Times New Roman"/>
          <w:b/>
          <w:bCs/>
          <w:color w:val="000000"/>
          <w:szCs w:val="24"/>
        </w:rPr>
        <w:t>Results</w:t>
      </w:r>
    </w:p>
    <w:p w14:paraId="5DAFD360" w14:textId="77777777" w:rsidR="00787DA9" w:rsidRDefault="00787DA9" w:rsidP="00787DA9">
      <w:pPr>
        <w:spacing w:line="240" w:lineRule="auto"/>
        <w:rPr>
          <w:rFonts w:eastAsia="Times New Roman" w:cs="Times New Roman"/>
          <w:color w:val="000000"/>
          <w:szCs w:val="24"/>
        </w:rPr>
      </w:pPr>
    </w:p>
    <w:p w14:paraId="3D4CF21A" w14:textId="77777777" w:rsidR="00E53AF3" w:rsidRDefault="00E53AF3" w:rsidP="00E53AF3">
      <w:pPr>
        <w:spacing w:line="240" w:lineRule="auto"/>
        <w:rPr>
          <w:rFonts w:eastAsia="Times New Roman" w:cs="Times New Roman"/>
          <w:color w:val="000000"/>
          <w:szCs w:val="24"/>
        </w:rPr>
      </w:pPr>
      <w:r>
        <w:rPr>
          <w:rFonts w:eastAsia="Times New Roman" w:cs="Times New Roman"/>
          <w:szCs w:val="24"/>
        </w:rPr>
        <w:t xml:space="preserve">Of the five sites sampled, two (sites four and five) had trace amounts of nitrate (five parts per million) found within the water of each of the three samples (see Table 1). </w:t>
      </w:r>
      <w:r w:rsidRPr="00055E81">
        <w:rPr>
          <w:rFonts w:eastAsia="Times New Roman" w:cs="Times New Roman"/>
          <w:color w:val="000000"/>
          <w:szCs w:val="24"/>
        </w:rPr>
        <w:t>Site four was located downstream from the neighborhood that housed the farmland, and site five was found within the fences surrounding a pasture on the Borlase farm.</w:t>
      </w:r>
      <w:r>
        <w:rPr>
          <w:rFonts w:eastAsia="Times New Roman" w:cs="Times New Roman"/>
          <w:color w:val="000000"/>
          <w:szCs w:val="24"/>
        </w:rPr>
        <w:t xml:space="preserve"> pH, ammonia, and nitrite were within expected levels. pH ranged from 6.4 to 7.2, and trace amounts of ammonia were found in one sample. Otherwise, no ammonia or nitrite were found. </w:t>
      </w:r>
    </w:p>
    <w:p w14:paraId="4BF09C52" w14:textId="77777777" w:rsidR="00801A4C" w:rsidRPr="00055E81" w:rsidRDefault="00801A4C" w:rsidP="00055E81">
      <w:pPr>
        <w:spacing w:line="240" w:lineRule="auto"/>
        <w:rPr>
          <w:rFonts w:eastAsia="Times New Roman" w:cs="Times New Roman"/>
          <w:szCs w:val="24"/>
        </w:rPr>
      </w:pPr>
    </w:p>
    <w:p w14:paraId="68A9DD90" w14:textId="77777777" w:rsidR="00055E81" w:rsidRDefault="00801A4C" w:rsidP="00055E81">
      <w:pPr>
        <w:spacing w:line="240" w:lineRule="auto"/>
        <w:rPr>
          <w:rFonts w:eastAsia="Times New Roman" w:cs="Times New Roman"/>
          <w:szCs w:val="24"/>
        </w:rPr>
      </w:pPr>
      <w:r>
        <w:rPr>
          <w:rFonts w:eastAsia="Times New Roman" w:cs="Times New Roman"/>
          <w:noProof/>
          <w:szCs w:val="24"/>
        </w:rPr>
        <w:drawing>
          <wp:inline distT="0" distB="0" distL="0" distR="0" wp14:anchorId="5A4525D3" wp14:editId="29C8E8BE">
            <wp:extent cx="5692128" cy="31908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 data.png"/>
                    <pic:cNvPicPr/>
                  </pic:nvPicPr>
                  <pic:blipFill>
                    <a:blip r:embed="rId7">
                      <a:extLst>
                        <a:ext uri="{28A0092B-C50C-407E-A947-70E740481C1C}">
                          <a14:useLocalDpi xmlns:a14="http://schemas.microsoft.com/office/drawing/2010/main" val="0"/>
                        </a:ext>
                      </a:extLst>
                    </a:blip>
                    <a:stretch>
                      <a:fillRect/>
                    </a:stretch>
                  </pic:blipFill>
                  <pic:spPr>
                    <a:xfrm>
                      <a:off x="0" y="0"/>
                      <a:ext cx="5692128" cy="3190875"/>
                    </a:xfrm>
                    <a:prstGeom prst="rect">
                      <a:avLst/>
                    </a:prstGeom>
                  </pic:spPr>
                </pic:pic>
              </a:graphicData>
            </a:graphic>
          </wp:inline>
        </w:drawing>
      </w:r>
    </w:p>
    <w:p w14:paraId="57A5CD1B" w14:textId="77777777" w:rsidR="00801A4C" w:rsidRDefault="00787DA9" w:rsidP="00055E81">
      <w:pPr>
        <w:spacing w:line="240" w:lineRule="auto"/>
        <w:rPr>
          <w:rFonts w:eastAsia="Times New Roman" w:cs="Times New Roman"/>
          <w:sz w:val="20"/>
          <w:szCs w:val="20"/>
        </w:rPr>
      </w:pPr>
      <w:r w:rsidRPr="00787DA9">
        <w:rPr>
          <w:rFonts w:eastAsia="Times New Roman" w:cs="Times New Roman"/>
          <w:sz w:val="20"/>
          <w:szCs w:val="20"/>
        </w:rPr>
        <w:t xml:space="preserve">Table 1. </w:t>
      </w:r>
      <w:r>
        <w:rPr>
          <w:rFonts w:eastAsia="Times New Roman" w:cs="Times New Roman"/>
          <w:sz w:val="20"/>
          <w:szCs w:val="20"/>
        </w:rPr>
        <w:t>pH and nutrient testing done at each of the five sites</w:t>
      </w:r>
      <w:r w:rsidR="00171081">
        <w:rPr>
          <w:rFonts w:eastAsia="Times New Roman" w:cs="Times New Roman"/>
          <w:sz w:val="20"/>
          <w:szCs w:val="20"/>
        </w:rPr>
        <w:t>. F</w:t>
      </w:r>
      <w:r>
        <w:rPr>
          <w:rFonts w:eastAsia="Times New Roman" w:cs="Times New Roman"/>
          <w:sz w:val="20"/>
          <w:szCs w:val="20"/>
        </w:rPr>
        <w:t>indings</w:t>
      </w:r>
      <w:r w:rsidR="00171081">
        <w:rPr>
          <w:rFonts w:eastAsia="Times New Roman" w:cs="Times New Roman"/>
          <w:sz w:val="20"/>
          <w:szCs w:val="20"/>
        </w:rPr>
        <w:t xml:space="preserve"> are</w:t>
      </w:r>
      <w:r>
        <w:rPr>
          <w:rFonts w:eastAsia="Times New Roman" w:cs="Times New Roman"/>
          <w:sz w:val="20"/>
          <w:szCs w:val="20"/>
        </w:rPr>
        <w:t xml:space="preserve"> averaged </w:t>
      </w:r>
      <w:r w:rsidR="00171081">
        <w:rPr>
          <w:rFonts w:eastAsia="Times New Roman" w:cs="Times New Roman"/>
          <w:sz w:val="20"/>
          <w:szCs w:val="20"/>
        </w:rPr>
        <w:t>for each of the tests</w:t>
      </w:r>
      <w:r w:rsidR="00377A91">
        <w:rPr>
          <w:rFonts w:eastAsia="Times New Roman" w:cs="Times New Roman"/>
          <w:sz w:val="20"/>
          <w:szCs w:val="20"/>
        </w:rPr>
        <w:t xml:space="preserve"> and displayed</w:t>
      </w:r>
      <w:r w:rsidR="00171081">
        <w:rPr>
          <w:rFonts w:eastAsia="Times New Roman" w:cs="Times New Roman"/>
          <w:sz w:val="20"/>
          <w:szCs w:val="20"/>
        </w:rPr>
        <w:t xml:space="preserve"> </w:t>
      </w:r>
      <w:r>
        <w:rPr>
          <w:rFonts w:eastAsia="Times New Roman" w:cs="Times New Roman"/>
          <w:sz w:val="20"/>
          <w:szCs w:val="20"/>
        </w:rPr>
        <w:t xml:space="preserve">on the </w:t>
      </w:r>
      <w:r w:rsidR="00CE1F03">
        <w:rPr>
          <w:rFonts w:eastAsia="Times New Roman" w:cs="Times New Roman"/>
          <w:sz w:val="20"/>
          <w:szCs w:val="20"/>
        </w:rPr>
        <w:t xml:space="preserve">top, </w:t>
      </w:r>
      <w:r>
        <w:rPr>
          <w:rFonts w:eastAsia="Times New Roman" w:cs="Times New Roman"/>
          <w:sz w:val="20"/>
          <w:szCs w:val="20"/>
        </w:rPr>
        <w:t>darkest colored bar for each section.</w:t>
      </w:r>
    </w:p>
    <w:p w14:paraId="0EBA5EF3" w14:textId="77777777" w:rsidR="00171081" w:rsidRDefault="00171081" w:rsidP="00171081">
      <w:pPr>
        <w:spacing w:line="240" w:lineRule="auto"/>
        <w:rPr>
          <w:rFonts w:eastAsia="Times New Roman" w:cs="Times New Roman"/>
          <w:color w:val="000000"/>
          <w:szCs w:val="24"/>
        </w:rPr>
      </w:pPr>
    </w:p>
    <w:p w14:paraId="1ED95776" w14:textId="77777777" w:rsidR="00E53AF3" w:rsidRPr="00A32F6B" w:rsidRDefault="00E53AF3" w:rsidP="00E53AF3">
      <w:pPr>
        <w:spacing w:line="240" w:lineRule="auto"/>
        <w:rPr>
          <w:rFonts w:eastAsia="Times New Roman" w:cs="Times New Roman"/>
          <w:color w:val="000000"/>
          <w:szCs w:val="24"/>
        </w:rPr>
      </w:pPr>
      <w:r>
        <w:rPr>
          <w:rFonts w:eastAsia="Times New Roman" w:cs="Times New Roman"/>
          <w:color w:val="000000"/>
          <w:szCs w:val="24"/>
        </w:rPr>
        <w:t xml:space="preserve">The RLCs show that sites four and five both have low-valued light curves, while in contrast, sites one, two, and three all have relatively high-valued light curves (see Figure 1). Although some graphs do not represent consistent curves, the three samples taken from each site are spaced fairly close together for each of the sites (excepting one sample from site two). </w:t>
      </w:r>
      <w:r w:rsidRPr="00FA73A3">
        <w:rPr>
          <w:rFonts w:eastAsia="Times New Roman" w:cs="Times New Roman"/>
          <w:color w:val="000000"/>
          <w:szCs w:val="24"/>
        </w:rPr>
        <w:t>R</w:t>
      </w:r>
      <w:r w:rsidRPr="00FA73A3">
        <w:rPr>
          <w:rFonts w:eastAsia="Times New Roman" w:cs="Times New Roman"/>
          <w:color w:val="000000"/>
          <w:szCs w:val="24"/>
          <w:vertAlign w:val="superscript"/>
        </w:rPr>
        <w:t>2</w:t>
      </w:r>
      <w:r>
        <w:rPr>
          <w:rFonts w:eastAsia="Times New Roman" w:cs="Times New Roman"/>
          <w:color w:val="000000"/>
          <w:szCs w:val="24"/>
        </w:rPr>
        <w:t xml:space="preserve"> </w:t>
      </w:r>
      <w:r w:rsidRPr="00FA73A3">
        <w:rPr>
          <w:rFonts w:eastAsia="Times New Roman" w:cs="Times New Roman"/>
          <w:color w:val="000000"/>
          <w:szCs w:val="24"/>
        </w:rPr>
        <w:t>values</w:t>
      </w:r>
      <w:r>
        <w:rPr>
          <w:rFonts w:eastAsia="Times New Roman" w:cs="Times New Roman"/>
          <w:color w:val="000000"/>
          <w:szCs w:val="24"/>
        </w:rPr>
        <w:t>, which can be determined from this figure, are indicative of health, with healthiest samples resulting in values closest to 1. Site one had a value of 0.9713 and site three had a value of 0.817, which were the highest values. Site four had the lowest value of 0.1666.</w:t>
      </w:r>
    </w:p>
    <w:p w14:paraId="12FD12C7" w14:textId="77777777" w:rsidR="00055E81" w:rsidRDefault="00AD1D17" w:rsidP="00055E81">
      <w:pPr>
        <w:spacing w:line="240" w:lineRule="auto"/>
        <w:rPr>
          <w:rFonts w:eastAsia="Times New Roman" w:cs="Times New Roman"/>
          <w:szCs w:val="24"/>
        </w:rPr>
      </w:pPr>
      <w:r w:rsidRPr="00AD1D17">
        <w:rPr>
          <w:rFonts w:eastAsia="Times New Roman" w:cs="Times New Roman"/>
          <w:noProof/>
          <w:szCs w:val="24"/>
        </w:rPr>
        <w:lastRenderedPageBreak/>
        <w:drawing>
          <wp:inline distT="0" distB="0" distL="0" distR="0" wp14:anchorId="1B9599BE" wp14:editId="5537C3E5">
            <wp:extent cx="5943600" cy="3634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4105"/>
                    </a:xfrm>
                    <a:prstGeom prst="rect">
                      <a:avLst/>
                    </a:prstGeom>
                  </pic:spPr>
                </pic:pic>
              </a:graphicData>
            </a:graphic>
          </wp:inline>
        </w:drawing>
      </w:r>
    </w:p>
    <w:p w14:paraId="11C605A8" w14:textId="77777777" w:rsidR="00801A4C" w:rsidRPr="00A32F6B" w:rsidRDefault="00171081" w:rsidP="00055E81">
      <w:pPr>
        <w:spacing w:line="240" w:lineRule="auto"/>
        <w:rPr>
          <w:rFonts w:eastAsia="Times New Roman" w:cs="Times New Roman"/>
          <w:sz w:val="20"/>
          <w:szCs w:val="20"/>
        </w:rPr>
      </w:pPr>
      <w:r w:rsidRPr="00A32F6B">
        <w:rPr>
          <w:rFonts w:eastAsia="Times New Roman" w:cs="Times New Roman"/>
          <w:sz w:val="20"/>
          <w:szCs w:val="20"/>
        </w:rPr>
        <w:t xml:space="preserve">Figure 1. </w:t>
      </w:r>
      <w:r w:rsidR="001E4075">
        <w:rPr>
          <w:rFonts w:eastAsia="Times New Roman" w:cs="Times New Roman"/>
          <w:sz w:val="20"/>
          <w:szCs w:val="20"/>
        </w:rPr>
        <w:t>Relative light c</w:t>
      </w:r>
      <w:r w:rsidR="00D67EFD" w:rsidRPr="00A32F6B">
        <w:rPr>
          <w:rFonts w:eastAsia="Times New Roman" w:cs="Times New Roman"/>
          <w:sz w:val="20"/>
          <w:szCs w:val="20"/>
        </w:rPr>
        <w:t xml:space="preserve">urves for each site, with the independent variable representing photosynthetic active radiation (PAR) and the dependent variable representing electron transport rate (ETR) to show the overall health and photosynthesis levels of the algae and </w:t>
      </w:r>
      <w:r w:rsidR="00A32F6B">
        <w:rPr>
          <w:rFonts w:eastAsia="Times New Roman" w:cs="Times New Roman"/>
          <w:sz w:val="20"/>
          <w:szCs w:val="20"/>
        </w:rPr>
        <w:t xml:space="preserve">the peak point </w:t>
      </w:r>
      <w:r w:rsidR="00D67EFD" w:rsidRPr="00A32F6B">
        <w:rPr>
          <w:rFonts w:eastAsia="Times New Roman" w:cs="Times New Roman"/>
          <w:sz w:val="20"/>
          <w:szCs w:val="20"/>
        </w:rPr>
        <w:t xml:space="preserve">at which </w:t>
      </w:r>
      <w:r w:rsidR="00A32F6B">
        <w:rPr>
          <w:rFonts w:eastAsia="Times New Roman" w:cs="Times New Roman"/>
          <w:sz w:val="20"/>
          <w:szCs w:val="20"/>
        </w:rPr>
        <w:t xml:space="preserve">the organisms are </w:t>
      </w:r>
      <w:r w:rsidR="00D67EFD" w:rsidRPr="00A32F6B">
        <w:rPr>
          <w:rFonts w:eastAsia="Times New Roman" w:cs="Times New Roman"/>
          <w:sz w:val="20"/>
          <w:szCs w:val="20"/>
        </w:rPr>
        <w:t>g</w:t>
      </w:r>
      <w:r w:rsidR="00A32F6B">
        <w:rPr>
          <w:rFonts w:eastAsia="Times New Roman" w:cs="Times New Roman"/>
          <w:sz w:val="20"/>
          <w:szCs w:val="20"/>
        </w:rPr>
        <w:t>iven too much sunlight</w:t>
      </w:r>
      <w:r w:rsidR="00D67EFD" w:rsidRPr="00A32F6B">
        <w:rPr>
          <w:rFonts w:eastAsia="Times New Roman" w:cs="Times New Roman"/>
          <w:sz w:val="20"/>
          <w:szCs w:val="20"/>
        </w:rPr>
        <w:t>.</w:t>
      </w:r>
      <w:r w:rsidR="00F651F8">
        <w:rPr>
          <w:rFonts w:eastAsia="Times New Roman" w:cs="Times New Roman"/>
          <w:sz w:val="20"/>
          <w:szCs w:val="20"/>
        </w:rPr>
        <w:t xml:space="preserve"> Colors for each site match Table 1.</w:t>
      </w:r>
    </w:p>
    <w:p w14:paraId="74D3BBB2" w14:textId="77777777" w:rsidR="00D67EFD" w:rsidRDefault="00D67EFD" w:rsidP="00055E81">
      <w:pPr>
        <w:spacing w:line="240" w:lineRule="auto"/>
        <w:rPr>
          <w:rFonts w:eastAsia="Times New Roman" w:cs="Times New Roman"/>
          <w:szCs w:val="24"/>
        </w:rPr>
      </w:pPr>
    </w:p>
    <w:p w14:paraId="79D4884F" w14:textId="77777777" w:rsidR="00E53AF3" w:rsidRDefault="00E53AF3" w:rsidP="00E53AF3">
      <w:pPr>
        <w:spacing w:line="240" w:lineRule="auto"/>
        <w:rPr>
          <w:rFonts w:eastAsia="Times New Roman" w:cs="Times New Roman"/>
          <w:szCs w:val="24"/>
        </w:rPr>
      </w:pPr>
      <w:r>
        <w:rPr>
          <w:rFonts w:eastAsia="Times New Roman" w:cs="Times New Roman"/>
          <w:szCs w:val="24"/>
        </w:rPr>
        <w:t xml:space="preserve">Alpha and Pmax values, which respectively represent the photosynthetic efficiency of the organisms and the capacity for photosynthesis within the biota, were also measured (see Figure 2 and Figure 3). Alpha values were high in site five and relatively low elsewhere. Pmax values were highest in sites one and three and very low in sites four and five. </w:t>
      </w:r>
    </w:p>
    <w:p w14:paraId="697E2739" w14:textId="77777777" w:rsidR="00801A4C" w:rsidRDefault="009C0736" w:rsidP="002B643D">
      <w:pPr>
        <w:spacing w:line="240" w:lineRule="auto"/>
        <w:rPr>
          <w:rFonts w:eastAsia="Times New Roman" w:cs="Times New Roman"/>
          <w:b/>
          <w:bCs/>
          <w:color w:val="000000"/>
          <w:szCs w:val="24"/>
        </w:rPr>
      </w:pPr>
      <w:r>
        <w:rPr>
          <w:noProof/>
        </w:rPr>
        <w:lastRenderedPageBreak/>
        <w:drawing>
          <wp:inline distT="0" distB="0" distL="0" distR="0" wp14:anchorId="57631908" wp14:editId="0FC436E1">
            <wp:extent cx="5600700" cy="40195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B39E89" w14:textId="77777777" w:rsidR="009C0736" w:rsidRDefault="00A32F6B" w:rsidP="002B643D">
      <w:pPr>
        <w:spacing w:line="240" w:lineRule="auto"/>
        <w:rPr>
          <w:rFonts w:eastAsia="Times New Roman" w:cs="Times New Roman"/>
          <w:bCs/>
          <w:color w:val="000000"/>
          <w:sz w:val="20"/>
          <w:szCs w:val="20"/>
        </w:rPr>
      </w:pPr>
      <w:r w:rsidRPr="00A32F6B">
        <w:rPr>
          <w:rFonts w:eastAsia="Times New Roman" w:cs="Times New Roman"/>
          <w:bCs/>
          <w:color w:val="000000"/>
          <w:sz w:val="20"/>
          <w:szCs w:val="20"/>
        </w:rPr>
        <w:t>Figure 2</w:t>
      </w:r>
      <w:r>
        <w:rPr>
          <w:rFonts w:eastAsia="Times New Roman" w:cs="Times New Roman"/>
          <w:bCs/>
          <w:color w:val="000000"/>
          <w:sz w:val="20"/>
          <w:szCs w:val="20"/>
        </w:rPr>
        <w:t>. Average alpha levels per site</w:t>
      </w:r>
      <w:r w:rsidR="005E2F3B">
        <w:rPr>
          <w:rFonts w:eastAsia="Times New Roman" w:cs="Times New Roman"/>
          <w:bCs/>
          <w:color w:val="000000"/>
          <w:sz w:val="20"/>
          <w:szCs w:val="20"/>
        </w:rPr>
        <w:t>, indicating photosynthetic efficiency</w:t>
      </w:r>
      <w:r>
        <w:rPr>
          <w:rFonts w:eastAsia="Times New Roman" w:cs="Times New Roman"/>
          <w:bCs/>
          <w:color w:val="000000"/>
          <w:sz w:val="20"/>
          <w:szCs w:val="20"/>
        </w:rPr>
        <w:t>.</w:t>
      </w:r>
      <w:r w:rsidR="001E4075">
        <w:rPr>
          <w:rFonts w:eastAsia="Times New Roman" w:cs="Times New Roman"/>
          <w:bCs/>
          <w:color w:val="000000"/>
          <w:sz w:val="20"/>
          <w:szCs w:val="20"/>
        </w:rPr>
        <w:t xml:space="preserve"> Standard deviation is also pictured.</w:t>
      </w:r>
    </w:p>
    <w:p w14:paraId="30D5A5AB" w14:textId="77777777" w:rsidR="0099317F" w:rsidRPr="00A32F6B" w:rsidRDefault="0099317F" w:rsidP="002B643D">
      <w:pPr>
        <w:spacing w:line="240" w:lineRule="auto"/>
        <w:rPr>
          <w:rFonts w:eastAsia="Times New Roman" w:cs="Times New Roman"/>
          <w:bCs/>
          <w:color w:val="000000"/>
          <w:sz w:val="20"/>
          <w:szCs w:val="20"/>
        </w:rPr>
      </w:pPr>
    </w:p>
    <w:p w14:paraId="0F4157EE" w14:textId="77777777" w:rsidR="009C0736" w:rsidRDefault="009C0736" w:rsidP="002B643D">
      <w:pPr>
        <w:spacing w:line="240" w:lineRule="auto"/>
        <w:rPr>
          <w:rFonts w:eastAsia="Times New Roman" w:cs="Times New Roman"/>
          <w:b/>
          <w:bCs/>
          <w:color w:val="000000"/>
          <w:szCs w:val="24"/>
        </w:rPr>
      </w:pPr>
      <w:r>
        <w:rPr>
          <w:noProof/>
        </w:rPr>
        <w:drawing>
          <wp:inline distT="0" distB="0" distL="0" distR="0" wp14:anchorId="757A0996" wp14:editId="65CEB401">
            <wp:extent cx="5600700" cy="36099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D711E3" w14:textId="77777777" w:rsidR="009C0736" w:rsidRPr="00A32F6B" w:rsidRDefault="00A32F6B" w:rsidP="002B643D">
      <w:pPr>
        <w:spacing w:line="240" w:lineRule="auto"/>
        <w:rPr>
          <w:rFonts w:eastAsia="Times New Roman" w:cs="Times New Roman"/>
          <w:bCs/>
          <w:color w:val="000000"/>
          <w:sz w:val="20"/>
          <w:szCs w:val="20"/>
        </w:rPr>
      </w:pPr>
      <w:r w:rsidRPr="00A32F6B">
        <w:rPr>
          <w:rFonts w:eastAsia="Times New Roman" w:cs="Times New Roman"/>
          <w:bCs/>
          <w:color w:val="000000"/>
          <w:sz w:val="20"/>
          <w:szCs w:val="20"/>
        </w:rPr>
        <w:t>Figure 3</w:t>
      </w:r>
      <w:r>
        <w:rPr>
          <w:rFonts w:eastAsia="Times New Roman" w:cs="Times New Roman"/>
          <w:bCs/>
          <w:color w:val="000000"/>
          <w:sz w:val="20"/>
          <w:szCs w:val="20"/>
        </w:rPr>
        <w:t>. Average Pmax value per site</w:t>
      </w:r>
      <w:r w:rsidR="005E2F3B">
        <w:rPr>
          <w:rFonts w:eastAsia="Times New Roman" w:cs="Times New Roman"/>
          <w:bCs/>
          <w:color w:val="000000"/>
          <w:sz w:val="20"/>
          <w:szCs w:val="20"/>
        </w:rPr>
        <w:t>, indicating overall capacity for photosynthesis</w:t>
      </w:r>
      <w:r>
        <w:rPr>
          <w:rFonts w:eastAsia="Times New Roman" w:cs="Times New Roman"/>
          <w:bCs/>
          <w:color w:val="000000"/>
          <w:sz w:val="20"/>
          <w:szCs w:val="20"/>
        </w:rPr>
        <w:t xml:space="preserve">. </w:t>
      </w:r>
      <w:r w:rsidR="001E4075">
        <w:rPr>
          <w:rFonts w:eastAsia="Times New Roman" w:cs="Times New Roman"/>
          <w:bCs/>
          <w:color w:val="000000"/>
          <w:sz w:val="20"/>
          <w:szCs w:val="20"/>
        </w:rPr>
        <w:t>Standard deviation is also pictured.</w:t>
      </w:r>
    </w:p>
    <w:p w14:paraId="4DD615CB" w14:textId="77777777" w:rsidR="004D557D" w:rsidRDefault="004D557D" w:rsidP="002B643D">
      <w:pPr>
        <w:spacing w:line="240" w:lineRule="auto"/>
        <w:rPr>
          <w:rFonts w:eastAsia="Times New Roman" w:cs="Times New Roman"/>
          <w:b/>
          <w:bCs/>
          <w:color w:val="000000"/>
          <w:szCs w:val="24"/>
        </w:rPr>
      </w:pPr>
    </w:p>
    <w:p w14:paraId="290EEEE7" w14:textId="77777777" w:rsidR="006A5837" w:rsidRDefault="006A5837" w:rsidP="006A5837">
      <w:pPr>
        <w:spacing w:line="240" w:lineRule="auto"/>
        <w:rPr>
          <w:rFonts w:eastAsia="Times New Roman" w:cs="Times New Roman"/>
          <w:b/>
          <w:bCs/>
          <w:color w:val="000000"/>
          <w:szCs w:val="24"/>
        </w:rPr>
      </w:pPr>
      <w:r w:rsidRPr="002B643D">
        <w:rPr>
          <w:rFonts w:eastAsia="Times New Roman" w:cs="Times New Roman"/>
          <w:b/>
          <w:bCs/>
          <w:color w:val="000000"/>
          <w:szCs w:val="24"/>
        </w:rPr>
        <w:t>Discussion</w:t>
      </w:r>
    </w:p>
    <w:p w14:paraId="3CEFEBCF" w14:textId="77777777" w:rsidR="006A5837" w:rsidRDefault="006A5837" w:rsidP="006A5837">
      <w:pPr>
        <w:spacing w:line="240" w:lineRule="auto"/>
        <w:rPr>
          <w:rFonts w:eastAsia="Times New Roman" w:cs="Times New Roman"/>
          <w:b/>
          <w:bCs/>
          <w:color w:val="000000"/>
          <w:szCs w:val="24"/>
        </w:rPr>
      </w:pPr>
    </w:p>
    <w:p w14:paraId="5B364082" w14:textId="77777777" w:rsidR="006A5837" w:rsidRDefault="006A5837" w:rsidP="006A5837">
      <w:pPr>
        <w:spacing w:line="240" w:lineRule="auto"/>
        <w:rPr>
          <w:rFonts w:eastAsia="Times New Roman" w:cs="Times New Roman"/>
          <w:bCs/>
          <w:color w:val="000000"/>
          <w:szCs w:val="24"/>
        </w:rPr>
      </w:pPr>
      <w:r>
        <w:rPr>
          <w:rFonts w:eastAsia="Times New Roman" w:cs="Times New Roman"/>
          <w:bCs/>
          <w:color w:val="000000"/>
          <w:szCs w:val="24"/>
        </w:rPr>
        <w:t xml:space="preserve">The purpose of this experiment was to analyze the effects of farming and other human interventions on Lake Rotoiti’s surrounding streams. Our findings suggest that the streams may not be as clean as possible and that more testing must be done to determine where the problem </w:t>
      </w:r>
      <w:r w:rsidR="00B1475D">
        <w:rPr>
          <w:rFonts w:eastAsia="Times New Roman" w:cs="Times New Roman"/>
          <w:bCs/>
          <w:color w:val="000000"/>
          <w:szCs w:val="24"/>
        </w:rPr>
        <w:t>lies</w:t>
      </w:r>
      <w:r>
        <w:rPr>
          <w:rFonts w:eastAsia="Times New Roman" w:cs="Times New Roman"/>
          <w:bCs/>
          <w:color w:val="000000"/>
          <w:szCs w:val="24"/>
        </w:rPr>
        <w:t>. Because sites four and five contained traces of nitrate, it is possible that they have been contaminated by the work of humans. When comparing the RLCs, one can see that sites four and five are shown to contain less healthy algae – although they still produce consistent curves. Only site one has a very healthy R</w:t>
      </w:r>
      <w:r>
        <w:rPr>
          <w:rFonts w:eastAsia="Times New Roman" w:cs="Times New Roman"/>
          <w:bCs/>
          <w:color w:val="000000"/>
          <w:szCs w:val="24"/>
          <w:vertAlign w:val="superscript"/>
        </w:rPr>
        <w:t>2</w:t>
      </w:r>
      <w:r>
        <w:rPr>
          <w:rFonts w:eastAsia="Times New Roman" w:cs="Times New Roman"/>
          <w:bCs/>
          <w:color w:val="000000"/>
          <w:szCs w:val="24"/>
        </w:rPr>
        <w:t xml:space="preserve"> value that the rest of the sites lack, with site three being the second healthiest. From the testing, it can be said that sites one and three are healthier and get more sunlight based on R</w:t>
      </w:r>
      <w:r>
        <w:rPr>
          <w:rFonts w:eastAsia="Times New Roman" w:cs="Times New Roman"/>
          <w:bCs/>
          <w:color w:val="000000"/>
          <w:szCs w:val="24"/>
          <w:vertAlign w:val="superscript"/>
        </w:rPr>
        <w:t>2</w:t>
      </w:r>
      <w:r>
        <w:rPr>
          <w:rFonts w:eastAsia="Times New Roman" w:cs="Times New Roman"/>
          <w:bCs/>
          <w:color w:val="000000"/>
          <w:szCs w:val="24"/>
        </w:rPr>
        <w:t xml:space="preserve"> levels and Pmax values for these sites, which somewhat aligns itself with the experimental hypothesis: site one was upstream from the farm, and site three was near a landfill that had been covered and has not been interacted with by humans recently.</w:t>
      </w:r>
      <w:r w:rsidRPr="009A4448">
        <w:rPr>
          <w:rFonts w:eastAsia="Times New Roman" w:cs="Times New Roman"/>
          <w:bCs/>
          <w:color w:val="000000"/>
          <w:szCs w:val="24"/>
        </w:rPr>
        <w:t xml:space="preserve"> </w:t>
      </w:r>
      <w:r>
        <w:rPr>
          <w:rFonts w:eastAsia="Times New Roman" w:cs="Times New Roman"/>
          <w:bCs/>
          <w:color w:val="000000"/>
          <w:szCs w:val="24"/>
        </w:rPr>
        <w:t>Site four, despite containing nitrate that may lead to flourishing algae, appears unhealthy based on site four’s RLC and the low efficiency of photosynthesis, seen from the alpha values. Pmax values tell readers the level of light the algae is accustomed to, and therefore matches our expectations when comparing to Figure 2 except in the case of site four, which is neither efficient nor receives much sunlight. Site five seems to be healthier in this regard: the organisms are thriving well on the sunlight that is received, as told through the alpha value,</w:t>
      </w:r>
      <w:r w:rsidRPr="009A4448">
        <w:rPr>
          <w:rFonts w:eastAsia="Times New Roman" w:cs="Times New Roman"/>
          <w:bCs/>
          <w:color w:val="000000"/>
          <w:szCs w:val="24"/>
        </w:rPr>
        <w:t xml:space="preserve"> </w:t>
      </w:r>
      <w:r>
        <w:rPr>
          <w:rFonts w:eastAsia="Times New Roman" w:cs="Times New Roman"/>
          <w:bCs/>
          <w:color w:val="000000"/>
          <w:szCs w:val="24"/>
        </w:rPr>
        <w:t xml:space="preserve">although the site is getting less sunlight (seen from </w:t>
      </w:r>
      <w:proofErr w:type="spellStart"/>
      <w:r>
        <w:rPr>
          <w:rFonts w:eastAsia="Times New Roman" w:cs="Times New Roman"/>
          <w:bCs/>
          <w:color w:val="000000"/>
          <w:szCs w:val="24"/>
        </w:rPr>
        <w:t>pmax</w:t>
      </w:r>
      <w:proofErr w:type="spellEnd"/>
      <w:r>
        <w:rPr>
          <w:rFonts w:eastAsia="Times New Roman" w:cs="Times New Roman"/>
          <w:bCs/>
          <w:color w:val="000000"/>
          <w:szCs w:val="24"/>
        </w:rPr>
        <w:t xml:space="preserve"> values, despite a large standard deviation for this result). Still, some questions are left. The alpha values show that only site five is undergoing photosynthesis efficiently, while sites one and three are very inefficient. In comparison to the RLCs for site one and three, this is unexpected. Finally, site two had high standard deviations and less consistent graphs and therefore gives little relevant information.  </w:t>
      </w:r>
    </w:p>
    <w:p w14:paraId="4B55B309" w14:textId="77777777" w:rsidR="006A5837" w:rsidRPr="002B643D" w:rsidRDefault="006A5837" w:rsidP="006A5837">
      <w:pPr>
        <w:spacing w:line="240" w:lineRule="auto"/>
        <w:rPr>
          <w:rFonts w:eastAsia="Times New Roman" w:cs="Times New Roman"/>
          <w:szCs w:val="24"/>
        </w:rPr>
      </w:pPr>
    </w:p>
    <w:p w14:paraId="31C24B1E" w14:textId="77777777" w:rsidR="006A5837" w:rsidRDefault="006A5837" w:rsidP="006A5837">
      <w:pPr>
        <w:spacing w:line="240" w:lineRule="auto"/>
        <w:rPr>
          <w:rFonts w:eastAsia="Times New Roman" w:cs="Times New Roman"/>
          <w:bCs/>
          <w:color w:val="000000"/>
          <w:szCs w:val="24"/>
        </w:rPr>
      </w:pPr>
      <w:r>
        <w:rPr>
          <w:rFonts w:eastAsia="Times New Roman" w:cs="Times New Roman"/>
          <w:bCs/>
          <w:color w:val="000000"/>
          <w:szCs w:val="24"/>
        </w:rPr>
        <w:t xml:space="preserve">This study is not conclusive, however. Results from the API Freshwater Master Kit did not show that all the water near farmland and the landfill were impacted by nitrates and other nutrients, and furthermore the graphs gave no fully conclusive data. Some had large standard deviations while others seemed to contradict other findings of this project. There were also problems with the methods: not all of the water was collected on the same day, and it had recently rained in the area, which may have affected some of the water quality. </w:t>
      </w:r>
    </w:p>
    <w:p w14:paraId="05C8987E" w14:textId="77777777" w:rsidR="006A5837" w:rsidRDefault="006A5837" w:rsidP="006A5837">
      <w:pPr>
        <w:spacing w:line="240" w:lineRule="auto"/>
        <w:rPr>
          <w:rFonts w:eastAsia="Times New Roman" w:cs="Times New Roman"/>
          <w:bCs/>
          <w:color w:val="000000"/>
          <w:szCs w:val="24"/>
        </w:rPr>
      </w:pPr>
    </w:p>
    <w:p w14:paraId="7B8EBE09" w14:textId="77777777" w:rsidR="006A5837" w:rsidRDefault="006A5837" w:rsidP="006A5837">
      <w:pPr>
        <w:spacing w:line="240" w:lineRule="auto"/>
        <w:rPr>
          <w:rFonts w:eastAsia="Times New Roman" w:cs="Times New Roman"/>
          <w:color w:val="000000"/>
          <w:szCs w:val="24"/>
        </w:rPr>
      </w:pPr>
      <w:r>
        <w:rPr>
          <w:rFonts w:eastAsia="Times New Roman" w:cs="Times New Roman"/>
          <w:bCs/>
          <w:color w:val="000000"/>
          <w:szCs w:val="24"/>
        </w:rPr>
        <w:t xml:space="preserve">However, many factors play into these tests, and </w:t>
      </w:r>
      <w:r>
        <w:rPr>
          <w:rFonts w:eastAsia="Times New Roman" w:cs="Times New Roman"/>
          <w:color w:val="000000"/>
          <w:szCs w:val="24"/>
        </w:rPr>
        <w:t>a</w:t>
      </w:r>
      <w:r w:rsidRPr="002B643D">
        <w:rPr>
          <w:rFonts w:eastAsia="Times New Roman" w:cs="Times New Roman"/>
          <w:color w:val="000000"/>
          <w:szCs w:val="24"/>
        </w:rPr>
        <w:t xml:space="preserve">lthough it would be jumping to conclusions to say that humans are having extensive ill-effects on the water and algae health in Lake Rotoiti and surrounding areas, it is also </w:t>
      </w:r>
      <w:r>
        <w:rPr>
          <w:rFonts w:eastAsia="Times New Roman" w:cs="Times New Roman"/>
          <w:color w:val="000000"/>
          <w:szCs w:val="24"/>
        </w:rPr>
        <w:t>unlikely</w:t>
      </w:r>
      <w:r w:rsidRPr="002B643D">
        <w:rPr>
          <w:rFonts w:eastAsia="Times New Roman" w:cs="Times New Roman"/>
          <w:color w:val="000000"/>
          <w:szCs w:val="24"/>
        </w:rPr>
        <w:t xml:space="preserve"> that the area is </w:t>
      </w:r>
      <w:r>
        <w:rPr>
          <w:rFonts w:eastAsia="Times New Roman" w:cs="Times New Roman"/>
          <w:color w:val="000000"/>
          <w:szCs w:val="24"/>
        </w:rPr>
        <w:t xml:space="preserve">entirely unaffected by the work of humans </w:t>
      </w:r>
      <w:r w:rsidR="00937629">
        <w:rPr>
          <w:rFonts w:eastAsia="Times New Roman" w:cs="Times New Roman"/>
          <w:color w:val="000000"/>
          <w:szCs w:val="24"/>
        </w:rPr>
        <w:t>(Smith 1999</w:t>
      </w:r>
      <w:r w:rsidRPr="002B643D">
        <w:rPr>
          <w:rFonts w:eastAsia="Times New Roman" w:cs="Times New Roman"/>
          <w:color w:val="000000"/>
          <w:szCs w:val="24"/>
        </w:rPr>
        <w:t>). Nitrate is not necessarily an unwelcome nutrient, and the addition of nitrate in water can often lead to healthy algae</w:t>
      </w:r>
      <w:r>
        <w:rPr>
          <w:rFonts w:eastAsia="Times New Roman" w:cs="Times New Roman"/>
          <w:color w:val="000000"/>
          <w:szCs w:val="24"/>
        </w:rPr>
        <w:t xml:space="preserve"> (“What causes…”)</w:t>
      </w:r>
      <w:r w:rsidRPr="002B643D">
        <w:rPr>
          <w:rFonts w:eastAsia="Times New Roman" w:cs="Times New Roman"/>
          <w:color w:val="000000"/>
          <w:szCs w:val="24"/>
        </w:rPr>
        <w:t xml:space="preserve">. However, it is the fact that the rapid light curves </w:t>
      </w:r>
      <w:r w:rsidR="00DA251C">
        <w:rPr>
          <w:rFonts w:eastAsia="Times New Roman" w:cs="Times New Roman"/>
          <w:color w:val="000000"/>
          <w:szCs w:val="24"/>
        </w:rPr>
        <w:t>yielded from</w:t>
      </w:r>
      <w:r w:rsidRPr="002B643D">
        <w:rPr>
          <w:rFonts w:eastAsia="Times New Roman" w:cs="Times New Roman"/>
          <w:color w:val="000000"/>
          <w:szCs w:val="24"/>
        </w:rPr>
        <w:t xml:space="preserve"> the areas with more nitrate come back looking unhealthy that should pique the interest of readers. This may happen for many reasons: there could be a lack of algae in the water to begin with, or the algae may have been unhealthy because of other nutrients that were not tested for in </w:t>
      </w:r>
      <w:r>
        <w:rPr>
          <w:rFonts w:eastAsia="Times New Roman" w:cs="Times New Roman"/>
          <w:color w:val="000000"/>
          <w:szCs w:val="24"/>
        </w:rPr>
        <w:t>the study</w:t>
      </w:r>
      <w:r w:rsidRPr="002B643D">
        <w:rPr>
          <w:rFonts w:eastAsia="Times New Roman" w:cs="Times New Roman"/>
          <w:color w:val="000000"/>
          <w:szCs w:val="24"/>
        </w:rPr>
        <w:t xml:space="preserve">. No matter the reason, though, these results </w:t>
      </w:r>
      <w:r>
        <w:rPr>
          <w:rFonts w:eastAsia="Times New Roman" w:cs="Times New Roman"/>
          <w:color w:val="000000"/>
          <w:szCs w:val="24"/>
        </w:rPr>
        <w:t>call for the need for more testing.</w:t>
      </w:r>
    </w:p>
    <w:p w14:paraId="2E1D5C2D" w14:textId="77777777" w:rsidR="006A5837" w:rsidRDefault="006A5837" w:rsidP="006A5837">
      <w:pPr>
        <w:spacing w:line="240" w:lineRule="auto"/>
        <w:rPr>
          <w:rFonts w:eastAsia="Times New Roman" w:cs="Times New Roman"/>
          <w:color w:val="000000"/>
          <w:szCs w:val="24"/>
        </w:rPr>
      </w:pPr>
    </w:p>
    <w:p w14:paraId="3765FC65" w14:textId="77777777" w:rsidR="00055E81" w:rsidRDefault="006A5837" w:rsidP="002B643D">
      <w:pPr>
        <w:spacing w:line="240" w:lineRule="auto"/>
        <w:rPr>
          <w:rFonts w:eastAsia="Times New Roman" w:cs="Times New Roman"/>
          <w:color w:val="000000"/>
          <w:szCs w:val="24"/>
        </w:rPr>
      </w:pPr>
      <w:r>
        <w:rPr>
          <w:rFonts w:eastAsia="Times New Roman" w:cs="Times New Roman"/>
          <w:color w:val="000000"/>
          <w:szCs w:val="24"/>
        </w:rPr>
        <w:t xml:space="preserve">In conclusion, it is necessary to begin consistent testing to ensure the accuracy of the water quality in this region and elsewhere in this country. </w:t>
      </w:r>
      <w:r>
        <w:rPr>
          <w:rFonts w:eastAsia="Times New Roman" w:cs="Times New Roman"/>
          <w:bCs/>
          <w:color w:val="000000"/>
          <w:szCs w:val="24"/>
        </w:rPr>
        <w:t xml:space="preserve">For farmers, water quality laws are often </w:t>
      </w:r>
      <w:r>
        <w:rPr>
          <w:rFonts w:eastAsia="Times New Roman" w:cs="Times New Roman"/>
          <w:bCs/>
          <w:color w:val="000000"/>
          <w:szCs w:val="24"/>
        </w:rPr>
        <w:lastRenderedPageBreak/>
        <w:t xml:space="preserve">detrimental to their way of life. Such laws often cost money and force farmers and workers to work alongside the government, which, as seen from the </w:t>
      </w:r>
      <w:proofErr w:type="spellStart"/>
      <w:r>
        <w:rPr>
          <w:rFonts w:eastAsia="Times New Roman" w:cs="Times New Roman"/>
          <w:bCs/>
          <w:color w:val="000000"/>
          <w:szCs w:val="24"/>
        </w:rPr>
        <w:t>Borlases</w:t>
      </w:r>
      <w:proofErr w:type="spellEnd"/>
      <w:r>
        <w:rPr>
          <w:rFonts w:eastAsia="Times New Roman" w:cs="Times New Roman"/>
          <w:bCs/>
          <w:color w:val="000000"/>
          <w:szCs w:val="24"/>
        </w:rPr>
        <w:t>, many farmers are unwilling to do because of past experiences with lawmakers (Lambert et al</w:t>
      </w:r>
      <w:r w:rsidR="006019AD">
        <w:rPr>
          <w:rFonts w:eastAsia="Times New Roman" w:cs="Times New Roman"/>
          <w:bCs/>
          <w:color w:val="000000"/>
          <w:szCs w:val="24"/>
        </w:rPr>
        <w:t>.</w:t>
      </w:r>
      <w:r>
        <w:rPr>
          <w:rFonts w:eastAsia="Times New Roman" w:cs="Times New Roman"/>
          <w:bCs/>
          <w:color w:val="000000"/>
          <w:szCs w:val="24"/>
        </w:rPr>
        <w:t xml:space="preserve"> 2018). This is understandable, as for them, </w:t>
      </w:r>
      <w:r>
        <w:rPr>
          <w:rFonts w:eastAsia="Times New Roman" w:cs="Times New Roman"/>
          <w:color w:val="000000"/>
          <w:szCs w:val="24"/>
        </w:rPr>
        <w:t>t</w:t>
      </w:r>
      <w:r w:rsidRPr="002B643D">
        <w:rPr>
          <w:rFonts w:eastAsia="Times New Roman" w:cs="Times New Roman"/>
          <w:color w:val="000000"/>
          <w:szCs w:val="24"/>
        </w:rPr>
        <w:t xml:space="preserve">his means more regulations and less economic growth as money must be spent on water quality testing and prevention of adverse nutrient flow. Because of this, some farmers stay just beneath the legal limits so that they can pass </w:t>
      </w:r>
      <w:r w:rsidR="00507414">
        <w:rPr>
          <w:rFonts w:eastAsia="Times New Roman" w:cs="Times New Roman"/>
          <w:color w:val="000000"/>
          <w:szCs w:val="24"/>
        </w:rPr>
        <w:t>these tests</w:t>
      </w:r>
      <w:r w:rsidRPr="002B643D">
        <w:rPr>
          <w:rFonts w:eastAsia="Times New Roman" w:cs="Times New Roman"/>
          <w:color w:val="000000"/>
          <w:szCs w:val="24"/>
        </w:rPr>
        <w:t xml:space="preserve"> while saving money</w:t>
      </w:r>
      <w:r>
        <w:rPr>
          <w:rFonts w:eastAsia="Times New Roman" w:cs="Times New Roman"/>
          <w:color w:val="000000"/>
          <w:szCs w:val="24"/>
        </w:rPr>
        <w:t xml:space="preserve"> (Duncan 2014)</w:t>
      </w:r>
      <w:r w:rsidRPr="002B643D">
        <w:rPr>
          <w:rFonts w:eastAsia="Times New Roman" w:cs="Times New Roman"/>
          <w:color w:val="000000"/>
          <w:szCs w:val="24"/>
        </w:rPr>
        <w:t xml:space="preserve">. </w:t>
      </w:r>
      <w:r>
        <w:rPr>
          <w:rFonts w:eastAsia="Times New Roman" w:cs="Times New Roman"/>
          <w:color w:val="000000"/>
          <w:szCs w:val="24"/>
        </w:rPr>
        <w:t>However, we need to</w:t>
      </w:r>
      <w:r w:rsidRPr="002B643D">
        <w:rPr>
          <w:rFonts w:eastAsia="Times New Roman" w:cs="Times New Roman"/>
          <w:color w:val="000000"/>
          <w:szCs w:val="24"/>
        </w:rPr>
        <w:t xml:space="preserve"> ensure the health </w:t>
      </w:r>
      <w:r>
        <w:rPr>
          <w:rFonts w:eastAsia="Times New Roman" w:cs="Times New Roman"/>
          <w:color w:val="000000"/>
          <w:szCs w:val="24"/>
        </w:rPr>
        <w:t>of the public and preserve New Zealand’s nature. This is not just a water issue, either, for “</w:t>
      </w:r>
      <w:r>
        <w:rPr>
          <w:color w:val="000000"/>
        </w:rPr>
        <w:t>u</w:t>
      </w:r>
      <w:r w:rsidRPr="003E6D3F">
        <w:rPr>
          <w:color w:val="000000"/>
        </w:rPr>
        <w:t xml:space="preserve">nsustainable land use practices, familiar and </w:t>
      </w:r>
      <w:r>
        <w:rPr>
          <w:color w:val="000000"/>
        </w:rPr>
        <w:t>rou</w:t>
      </w:r>
      <w:r w:rsidRPr="003E6D3F">
        <w:rPr>
          <w:color w:val="000000"/>
        </w:rPr>
        <w:t xml:space="preserve">tine, are a deep seated problem that New Zealand must address </w:t>
      </w:r>
      <w:r>
        <w:rPr>
          <w:color w:val="000000"/>
        </w:rPr>
        <w:t>urgently</w:t>
      </w:r>
      <w:r w:rsidRPr="003E6D3F">
        <w:rPr>
          <w:color w:val="000000"/>
        </w:rPr>
        <w:t xml:space="preserve"> </w:t>
      </w:r>
      <w:r>
        <w:rPr>
          <w:color w:val="000000"/>
        </w:rPr>
        <w:t>…</w:t>
      </w:r>
      <w:r w:rsidRPr="003E6D3F">
        <w:rPr>
          <w:color w:val="000000"/>
        </w:rPr>
        <w:t xml:space="preserve"> many of the farming techniques we learnt and which are still being </w:t>
      </w:r>
      <w:proofErr w:type="spellStart"/>
      <w:r w:rsidRPr="003E6D3F">
        <w:rPr>
          <w:color w:val="000000"/>
        </w:rPr>
        <w:t>practised</w:t>
      </w:r>
      <w:proofErr w:type="spellEnd"/>
      <w:r w:rsidRPr="003E6D3F">
        <w:rPr>
          <w:color w:val="000000"/>
        </w:rPr>
        <w:t xml:space="preserve">, must change if we are to address the </w:t>
      </w:r>
      <w:r>
        <w:rPr>
          <w:color w:val="000000"/>
        </w:rPr>
        <w:t>degra</w:t>
      </w:r>
      <w:r w:rsidRPr="003E6D3F">
        <w:rPr>
          <w:color w:val="000000"/>
        </w:rPr>
        <w:t>dation of water quality, the poisoning of aquifers, the loss of soil quality and fabric, and the disappearance of native species</w:t>
      </w:r>
      <w:r>
        <w:rPr>
          <w:color w:val="000000"/>
        </w:rPr>
        <w:t>” (</w:t>
      </w:r>
      <w:r w:rsidR="003E122C">
        <w:rPr>
          <w:color w:val="000000" w:themeColor="text1"/>
          <w:shd w:val="clear" w:color="auto" w:fill="FFFFFF"/>
        </w:rPr>
        <w:t xml:space="preserve">Wallace 1999: </w:t>
      </w:r>
      <w:r w:rsidR="003E122C">
        <w:rPr>
          <w:color w:val="000000"/>
        </w:rPr>
        <w:t>28</w:t>
      </w:r>
      <w:r>
        <w:rPr>
          <w:color w:val="000000"/>
        </w:rPr>
        <w:t xml:space="preserve">). </w:t>
      </w:r>
      <w:r w:rsidRPr="002B643D">
        <w:rPr>
          <w:rFonts w:eastAsia="Times New Roman" w:cs="Times New Roman"/>
          <w:color w:val="000000"/>
          <w:szCs w:val="24"/>
        </w:rPr>
        <w:t xml:space="preserve">Water gives life to all, and to create and upkeep healthy water laws that all people of New Zealand are willing to work with is to help turn this country into the </w:t>
      </w:r>
      <w:r>
        <w:rPr>
          <w:rFonts w:eastAsia="Times New Roman" w:cs="Times New Roman"/>
          <w:color w:val="000000"/>
          <w:szCs w:val="24"/>
        </w:rPr>
        <w:t xml:space="preserve">environmentally friendly and safe </w:t>
      </w:r>
      <w:r w:rsidRPr="002B643D">
        <w:rPr>
          <w:rFonts w:eastAsia="Times New Roman" w:cs="Times New Roman"/>
          <w:color w:val="000000"/>
          <w:szCs w:val="24"/>
        </w:rPr>
        <w:t xml:space="preserve">place that </w:t>
      </w:r>
      <w:r>
        <w:rPr>
          <w:rFonts w:eastAsia="Times New Roman" w:cs="Times New Roman"/>
          <w:color w:val="000000"/>
          <w:szCs w:val="24"/>
        </w:rPr>
        <w:t xml:space="preserve">the </w:t>
      </w:r>
      <w:r w:rsidRPr="002B643D">
        <w:rPr>
          <w:rFonts w:eastAsia="Times New Roman" w:cs="Times New Roman"/>
          <w:color w:val="000000"/>
          <w:szCs w:val="24"/>
        </w:rPr>
        <w:t xml:space="preserve">people </w:t>
      </w:r>
      <w:r>
        <w:rPr>
          <w:rFonts w:eastAsia="Times New Roman" w:cs="Times New Roman"/>
          <w:color w:val="000000"/>
          <w:szCs w:val="24"/>
        </w:rPr>
        <w:t>need</w:t>
      </w:r>
      <w:r w:rsidRPr="002B643D">
        <w:rPr>
          <w:rFonts w:eastAsia="Times New Roman" w:cs="Times New Roman"/>
          <w:color w:val="000000"/>
          <w:szCs w:val="24"/>
        </w:rPr>
        <w:t>.</w:t>
      </w:r>
      <w:r>
        <w:rPr>
          <w:color w:val="000000"/>
        </w:rPr>
        <w:t xml:space="preserve"> </w:t>
      </w:r>
      <w:r>
        <w:rPr>
          <w:rFonts w:eastAsia="Times New Roman" w:cs="Times New Roman"/>
          <w:szCs w:val="24"/>
        </w:rPr>
        <w:t xml:space="preserve">It is only through more testing that New Zealanders </w:t>
      </w:r>
      <w:r>
        <w:rPr>
          <w:rFonts w:eastAsia="Times New Roman" w:cs="Times New Roman"/>
          <w:color w:val="000000"/>
          <w:szCs w:val="24"/>
        </w:rPr>
        <w:t>can regain the clean, green mantra they want to uphold.</w:t>
      </w:r>
    </w:p>
    <w:p w14:paraId="5E90848F" w14:textId="77777777" w:rsidR="00C27A5A" w:rsidRDefault="00C27A5A" w:rsidP="002B643D">
      <w:pPr>
        <w:spacing w:line="240" w:lineRule="auto"/>
        <w:rPr>
          <w:rFonts w:eastAsia="Times New Roman" w:cs="Times New Roman"/>
          <w:color w:val="000000"/>
          <w:szCs w:val="24"/>
        </w:rPr>
      </w:pPr>
    </w:p>
    <w:p w14:paraId="693A41EE" w14:textId="77777777" w:rsidR="00C27A5A" w:rsidRDefault="00C27A5A">
      <w:pPr>
        <w:rPr>
          <w:rFonts w:eastAsia="Times New Roman" w:cs="Times New Roman"/>
          <w:color w:val="000000"/>
          <w:szCs w:val="24"/>
        </w:rPr>
      </w:pPr>
      <w:r>
        <w:rPr>
          <w:rFonts w:eastAsia="Times New Roman" w:cs="Times New Roman"/>
          <w:color w:val="000000"/>
          <w:szCs w:val="24"/>
        </w:rPr>
        <w:br w:type="page"/>
      </w:r>
    </w:p>
    <w:p w14:paraId="7B003B72" w14:textId="77777777" w:rsidR="00C27A5A" w:rsidRPr="00C27A5A" w:rsidRDefault="00C27A5A" w:rsidP="00C27A5A">
      <w:pPr>
        <w:spacing w:line="240" w:lineRule="auto"/>
        <w:jc w:val="center"/>
        <w:rPr>
          <w:rFonts w:eastAsia="Times New Roman" w:cs="Times New Roman"/>
          <w:bCs/>
          <w:szCs w:val="24"/>
        </w:rPr>
      </w:pPr>
      <w:r w:rsidRPr="00C27A5A">
        <w:rPr>
          <w:rFonts w:eastAsia="Times New Roman" w:cs="Times New Roman"/>
          <w:bCs/>
          <w:szCs w:val="24"/>
        </w:rPr>
        <w:lastRenderedPageBreak/>
        <w:t>References</w:t>
      </w:r>
    </w:p>
    <w:p w14:paraId="52F58B82" w14:textId="77777777" w:rsidR="00C27A5A" w:rsidRPr="00C27A5A" w:rsidRDefault="00C27A5A" w:rsidP="00C27A5A">
      <w:pPr>
        <w:spacing w:line="240" w:lineRule="auto"/>
        <w:ind w:firstLine="720"/>
        <w:rPr>
          <w:rFonts w:eastAsia="Times New Roman" w:cs="Times New Roman"/>
          <w:color w:val="000000"/>
          <w:szCs w:val="24"/>
        </w:rPr>
      </w:pPr>
    </w:p>
    <w:p w14:paraId="30F5E740" w14:textId="77777777" w:rsidR="00D95D4A" w:rsidRDefault="008561D2" w:rsidP="00AD1DC9">
      <w:pPr>
        <w:pStyle w:val="NormalWeb"/>
        <w:spacing w:before="0" w:beforeAutospacing="0" w:after="0" w:afterAutospacing="0"/>
        <w:rPr>
          <w:shd w:val="clear" w:color="auto" w:fill="FFFFFF"/>
        </w:rPr>
      </w:pPr>
      <w:r>
        <w:rPr>
          <w:shd w:val="clear" w:color="auto" w:fill="FFFFFF"/>
        </w:rPr>
        <w:t>Apps, Tim. “</w:t>
      </w:r>
      <w:r w:rsidR="00D95D4A" w:rsidRPr="00D95D4A">
        <w:rPr>
          <w:shd w:val="clear" w:color="auto" w:fill="FFFFFF"/>
        </w:rPr>
        <w:t xml:space="preserve">Testing for Nitrate and Nitrite in Natural Waters.” </w:t>
      </w:r>
      <w:r w:rsidR="00D95D4A" w:rsidRPr="00D95D4A">
        <w:rPr>
          <w:i/>
          <w:iCs/>
          <w:shd w:val="clear" w:color="auto" w:fill="FFFFFF"/>
        </w:rPr>
        <w:t>Testing Solutions</w:t>
      </w:r>
      <w:r w:rsidR="00D95D4A" w:rsidRPr="00D95D4A">
        <w:rPr>
          <w:shd w:val="clear" w:color="auto" w:fill="FFFFFF"/>
        </w:rPr>
        <w:t xml:space="preserve">, Apps </w:t>
      </w:r>
    </w:p>
    <w:p w14:paraId="64B540BD" w14:textId="77777777" w:rsidR="00D95D4A" w:rsidRPr="00D95D4A" w:rsidRDefault="00D95D4A" w:rsidP="00D95D4A">
      <w:pPr>
        <w:pStyle w:val="NormalWeb"/>
        <w:spacing w:before="0" w:beforeAutospacing="0" w:after="0" w:afterAutospacing="0"/>
        <w:ind w:firstLine="720"/>
      </w:pPr>
      <w:r w:rsidRPr="00D95D4A">
        <w:rPr>
          <w:shd w:val="clear" w:color="auto" w:fill="FFFFFF"/>
        </w:rPr>
        <w:t>Laboratories.</w:t>
      </w:r>
    </w:p>
    <w:p w14:paraId="18817F3C" w14:textId="77777777" w:rsidR="006019AD" w:rsidRDefault="006019AD" w:rsidP="00AD1DC9">
      <w:pPr>
        <w:pStyle w:val="NormalWeb"/>
        <w:spacing w:before="0" w:beforeAutospacing="0" w:after="0" w:afterAutospacing="0"/>
        <w:rPr>
          <w:color w:val="000000"/>
        </w:rPr>
      </w:pPr>
      <w:r>
        <w:rPr>
          <w:color w:val="000000"/>
        </w:rPr>
        <w:t xml:space="preserve">Duncan, </w:t>
      </w:r>
      <w:proofErr w:type="spellStart"/>
      <w:r>
        <w:rPr>
          <w:color w:val="000000"/>
        </w:rPr>
        <w:t>Ronlyn</w:t>
      </w:r>
      <w:proofErr w:type="spellEnd"/>
      <w:r>
        <w:rPr>
          <w:color w:val="000000"/>
        </w:rPr>
        <w:t xml:space="preserve">. “Regulating agricultural land use to manage water quality: The challenges for </w:t>
      </w:r>
    </w:p>
    <w:p w14:paraId="3AFADBD7" w14:textId="77777777" w:rsidR="006019AD" w:rsidRDefault="006019AD" w:rsidP="006019AD">
      <w:pPr>
        <w:pStyle w:val="NormalWeb"/>
        <w:spacing w:before="0" w:beforeAutospacing="0" w:after="0" w:afterAutospacing="0"/>
        <w:ind w:firstLine="720"/>
        <w:rPr>
          <w:color w:val="000000"/>
        </w:rPr>
      </w:pPr>
      <w:r>
        <w:rPr>
          <w:color w:val="000000"/>
        </w:rPr>
        <w:t xml:space="preserve">science and policy in enforcing limits on non-Point source pollution in New Zealand.” </w:t>
      </w:r>
    </w:p>
    <w:p w14:paraId="44D0A60A" w14:textId="77777777" w:rsidR="006019AD" w:rsidRPr="006019AD" w:rsidRDefault="006019AD" w:rsidP="006019AD">
      <w:pPr>
        <w:pStyle w:val="NormalWeb"/>
        <w:spacing w:before="0" w:beforeAutospacing="0" w:after="0" w:afterAutospacing="0"/>
        <w:ind w:firstLine="720"/>
      </w:pPr>
      <w:r>
        <w:rPr>
          <w:i/>
          <w:iCs/>
          <w:color w:val="000000"/>
        </w:rPr>
        <w:t>Land Use Policy</w:t>
      </w:r>
      <w:r>
        <w:rPr>
          <w:color w:val="000000"/>
        </w:rPr>
        <w:t>, vol. 41, Nov. 2014, pp. 378–387.</w:t>
      </w:r>
    </w:p>
    <w:p w14:paraId="137EACCB" w14:textId="77777777" w:rsidR="00AD1DC9" w:rsidRDefault="00AD1DC9" w:rsidP="00AD1DC9">
      <w:pPr>
        <w:pStyle w:val="NormalWeb"/>
        <w:spacing w:before="0" w:beforeAutospacing="0" w:after="0" w:afterAutospacing="0"/>
        <w:rPr>
          <w:color w:val="000000"/>
          <w:shd w:val="clear" w:color="auto" w:fill="FFFFFF"/>
        </w:rPr>
      </w:pPr>
      <w:r>
        <w:rPr>
          <w:color w:val="000000"/>
          <w:shd w:val="clear" w:color="auto" w:fill="FFFFFF"/>
        </w:rPr>
        <w:t xml:space="preserve">Elston, E., R. Anderson-Lederer, R.G. Death and M.K. Joy. “The Plight of New Zealand’s </w:t>
      </w:r>
    </w:p>
    <w:p w14:paraId="7DB7B571" w14:textId="77777777" w:rsidR="00AD1DC9" w:rsidRDefault="00AD1DC9" w:rsidP="00AD1DC9">
      <w:pPr>
        <w:pStyle w:val="NormalWeb"/>
        <w:spacing w:before="0" w:beforeAutospacing="0" w:after="0" w:afterAutospacing="0"/>
        <w:ind w:firstLine="720"/>
        <w:rPr>
          <w:color w:val="000000"/>
          <w:shd w:val="clear" w:color="auto" w:fill="FFFFFF"/>
        </w:rPr>
      </w:pPr>
      <w:r>
        <w:rPr>
          <w:color w:val="000000"/>
          <w:shd w:val="clear" w:color="auto" w:fill="FFFFFF"/>
        </w:rPr>
        <w:t xml:space="preserve">Freshwater Biodiversity.” </w:t>
      </w:r>
      <w:r>
        <w:rPr>
          <w:i/>
          <w:iCs/>
          <w:color w:val="000000"/>
          <w:shd w:val="clear" w:color="auto" w:fill="FFFFFF"/>
        </w:rPr>
        <w:t>Society for Conservation Biology</w:t>
      </w:r>
      <w:r>
        <w:rPr>
          <w:color w:val="000000"/>
          <w:shd w:val="clear" w:color="auto" w:fill="FFFFFF"/>
        </w:rPr>
        <w:t>, 2014, pp. 1-14.</w:t>
      </w:r>
    </w:p>
    <w:p w14:paraId="0BB8BE1E" w14:textId="77777777" w:rsidR="006A2159" w:rsidRDefault="006A2159" w:rsidP="006A2159">
      <w:pPr>
        <w:pStyle w:val="NormalWeb"/>
        <w:spacing w:before="0" w:beforeAutospacing="0" w:after="0" w:afterAutospacing="0"/>
        <w:rPr>
          <w:shd w:val="clear" w:color="auto" w:fill="FFFFFF"/>
        </w:rPr>
      </w:pPr>
      <w:r w:rsidRPr="006A2159">
        <w:rPr>
          <w:shd w:val="clear" w:color="auto" w:fill="FFFFFF"/>
        </w:rPr>
        <w:t xml:space="preserve">Hamilton, David. “Algae in the Rotorua Lakes.” </w:t>
      </w:r>
      <w:r w:rsidRPr="006A2159">
        <w:rPr>
          <w:i/>
          <w:iCs/>
        </w:rPr>
        <w:t>Lakes Facts</w:t>
      </w:r>
      <w:r w:rsidRPr="006A2159">
        <w:rPr>
          <w:shd w:val="clear" w:color="auto" w:fill="FFFFFF"/>
        </w:rPr>
        <w:t xml:space="preserve">, Environment Bay of Plenty, Jan. </w:t>
      </w:r>
    </w:p>
    <w:p w14:paraId="4962475C" w14:textId="77777777" w:rsidR="006A2159" w:rsidRDefault="006A2159" w:rsidP="00230194">
      <w:pPr>
        <w:pStyle w:val="NormalWeb"/>
        <w:spacing w:before="0" w:beforeAutospacing="0" w:after="0" w:afterAutospacing="0"/>
        <w:ind w:firstLine="720"/>
        <w:rPr>
          <w:shd w:val="clear" w:color="auto" w:fill="FFFFFF"/>
        </w:rPr>
      </w:pPr>
      <w:r w:rsidRPr="006A2159">
        <w:rPr>
          <w:shd w:val="clear" w:color="auto" w:fill="FFFFFF"/>
        </w:rPr>
        <w:t>2005.</w:t>
      </w:r>
    </w:p>
    <w:p w14:paraId="5A5872AE" w14:textId="77777777" w:rsidR="00230194" w:rsidRDefault="00230194" w:rsidP="00230194">
      <w:pPr>
        <w:pStyle w:val="NormalWeb"/>
        <w:spacing w:before="0" w:beforeAutospacing="0" w:after="0" w:afterAutospacing="0"/>
        <w:rPr>
          <w:i/>
          <w:iCs/>
        </w:rPr>
      </w:pPr>
      <w:r w:rsidRPr="00230194">
        <w:rPr>
          <w:shd w:val="clear" w:color="auto" w:fill="FFFFFF"/>
        </w:rPr>
        <w:t xml:space="preserve">Hughey, Kenneth F.D., Geoffrey N. Kerr and Ross Cullen. </w:t>
      </w:r>
      <w:r w:rsidRPr="00230194">
        <w:rPr>
          <w:i/>
          <w:iCs/>
        </w:rPr>
        <w:t xml:space="preserve">Public Perceptions of New Zealand’s </w:t>
      </w:r>
    </w:p>
    <w:p w14:paraId="0E346A63" w14:textId="77777777" w:rsidR="00230194" w:rsidRPr="00230194" w:rsidRDefault="00230194" w:rsidP="00230194">
      <w:pPr>
        <w:pStyle w:val="NormalWeb"/>
        <w:spacing w:before="0" w:beforeAutospacing="0" w:after="0" w:afterAutospacing="0"/>
        <w:ind w:firstLine="720"/>
      </w:pPr>
      <w:r w:rsidRPr="00230194">
        <w:rPr>
          <w:i/>
          <w:iCs/>
        </w:rPr>
        <w:t>Environment: 2016</w:t>
      </w:r>
      <w:r w:rsidRPr="00230194">
        <w:rPr>
          <w:shd w:val="clear" w:color="auto" w:fill="FFFFFF"/>
        </w:rPr>
        <w:t>. EOS Ecology, 2016.</w:t>
      </w:r>
    </w:p>
    <w:p w14:paraId="0BE1FE08" w14:textId="77777777" w:rsidR="004945EC" w:rsidRDefault="004945EC" w:rsidP="006019AD">
      <w:pPr>
        <w:pStyle w:val="NormalWeb"/>
        <w:spacing w:before="0" w:beforeAutospacing="0" w:after="0" w:afterAutospacing="0"/>
        <w:rPr>
          <w:i/>
          <w:iCs/>
        </w:rPr>
      </w:pPr>
      <w:r w:rsidRPr="004945EC">
        <w:rPr>
          <w:shd w:val="clear" w:color="auto" w:fill="FFFFFF"/>
        </w:rPr>
        <w:t xml:space="preserve">Joy, Mike K., and Russell G. Death. “Freshwater </w:t>
      </w:r>
      <w:proofErr w:type="spellStart"/>
      <w:r w:rsidRPr="004945EC">
        <w:rPr>
          <w:shd w:val="clear" w:color="auto" w:fill="FFFFFF"/>
        </w:rPr>
        <w:t>Biodiversity.”</w:t>
      </w:r>
      <w:r w:rsidRPr="004945EC">
        <w:rPr>
          <w:i/>
          <w:iCs/>
        </w:rPr>
        <w:t>Institute</w:t>
      </w:r>
      <w:proofErr w:type="spellEnd"/>
      <w:r w:rsidRPr="004945EC">
        <w:rPr>
          <w:i/>
          <w:iCs/>
        </w:rPr>
        <w:t xml:space="preserve"> of Agriculture and </w:t>
      </w:r>
    </w:p>
    <w:p w14:paraId="77DB36DE" w14:textId="77777777" w:rsidR="004945EC" w:rsidRPr="004945EC" w:rsidRDefault="004945EC" w:rsidP="004945EC">
      <w:pPr>
        <w:pStyle w:val="NormalWeb"/>
        <w:spacing w:before="0" w:beforeAutospacing="0" w:after="0" w:afterAutospacing="0"/>
        <w:ind w:firstLine="720"/>
      </w:pPr>
      <w:r w:rsidRPr="004945EC">
        <w:rPr>
          <w:i/>
          <w:iCs/>
        </w:rPr>
        <w:t>Environment</w:t>
      </w:r>
      <w:r w:rsidRPr="004945EC">
        <w:rPr>
          <w:shd w:val="clear" w:color="auto" w:fill="FFFFFF"/>
        </w:rPr>
        <w:t>.</w:t>
      </w:r>
    </w:p>
    <w:p w14:paraId="2FD4EB2B" w14:textId="77777777" w:rsidR="006019AD" w:rsidRDefault="006019AD" w:rsidP="006019AD">
      <w:pPr>
        <w:pStyle w:val="NormalWeb"/>
        <w:spacing w:before="0" w:beforeAutospacing="0" w:after="0" w:afterAutospacing="0"/>
        <w:rPr>
          <w:color w:val="000000"/>
        </w:rPr>
      </w:pPr>
      <w:r>
        <w:rPr>
          <w:color w:val="000000"/>
        </w:rPr>
        <w:t xml:space="preserve">Lambert, Madison, Micael Lonergan and Katherine McFarlane. “General Questions with the </w:t>
      </w:r>
    </w:p>
    <w:p w14:paraId="164EA8AA" w14:textId="77777777" w:rsidR="006019AD" w:rsidRDefault="006019AD" w:rsidP="006019AD">
      <w:pPr>
        <w:pStyle w:val="NormalWeb"/>
        <w:spacing w:before="0" w:beforeAutospacing="0" w:after="0" w:afterAutospacing="0"/>
        <w:ind w:firstLine="720"/>
      </w:pPr>
      <w:proofErr w:type="spellStart"/>
      <w:r>
        <w:rPr>
          <w:color w:val="000000"/>
        </w:rPr>
        <w:t>Borlases</w:t>
      </w:r>
      <w:proofErr w:type="spellEnd"/>
      <w:r>
        <w:rPr>
          <w:color w:val="000000"/>
        </w:rPr>
        <w:t>.” 22 Feb. 2018.</w:t>
      </w:r>
    </w:p>
    <w:p w14:paraId="62A945A4" w14:textId="77777777" w:rsidR="004D4B55" w:rsidRDefault="004D4B55" w:rsidP="004D4B55">
      <w:pPr>
        <w:pStyle w:val="NormalWeb"/>
        <w:spacing w:before="0" w:beforeAutospacing="0" w:after="0" w:afterAutospacing="0"/>
      </w:pPr>
      <w:r w:rsidRPr="004D4B55">
        <w:t xml:space="preserve">Larned, Scott T., Mike R. </w:t>
      </w:r>
      <w:proofErr w:type="spellStart"/>
      <w:r w:rsidRPr="004D4B55">
        <w:t>Scarsbook</w:t>
      </w:r>
      <w:proofErr w:type="spellEnd"/>
      <w:r w:rsidRPr="004D4B55">
        <w:t xml:space="preserve">, Ton H. </w:t>
      </w:r>
      <w:proofErr w:type="spellStart"/>
      <w:r w:rsidRPr="004D4B55">
        <w:t>Snelder</w:t>
      </w:r>
      <w:proofErr w:type="spellEnd"/>
      <w:r w:rsidRPr="004D4B55">
        <w:t xml:space="preserve">, Ned J. Norton and Barry J.F. Biggs. </w:t>
      </w:r>
    </w:p>
    <w:p w14:paraId="12E19426" w14:textId="77777777" w:rsidR="004D4B55" w:rsidRDefault="004D4B55" w:rsidP="004D4B55">
      <w:pPr>
        <w:pStyle w:val="NormalWeb"/>
        <w:spacing w:before="0" w:beforeAutospacing="0" w:after="0" w:afterAutospacing="0"/>
        <w:ind w:firstLine="720"/>
      </w:pPr>
      <w:r w:rsidRPr="004D4B55">
        <w:t xml:space="preserve">“Water Quality in Low‐Elevation Streams and Rivers of New Zealand: Recent State and </w:t>
      </w:r>
    </w:p>
    <w:p w14:paraId="72FD3B09" w14:textId="77777777" w:rsidR="004D4B55" w:rsidRDefault="004D4B55" w:rsidP="004D4B55">
      <w:pPr>
        <w:pStyle w:val="NormalWeb"/>
        <w:spacing w:before="0" w:beforeAutospacing="0" w:after="0" w:afterAutospacing="0"/>
        <w:ind w:firstLine="720"/>
        <w:rPr>
          <w:i/>
          <w:iCs/>
        </w:rPr>
      </w:pPr>
      <w:r w:rsidRPr="004D4B55">
        <w:t xml:space="preserve">Trends in Contrasting Land‐Cover Classes.” </w:t>
      </w:r>
      <w:r w:rsidRPr="004D4B55">
        <w:rPr>
          <w:i/>
          <w:iCs/>
        </w:rPr>
        <w:t>Journal New Zealand Journal of Marine and</w:t>
      </w:r>
      <w:r>
        <w:rPr>
          <w:i/>
          <w:iCs/>
        </w:rPr>
        <w:t xml:space="preserve"> </w:t>
      </w:r>
    </w:p>
    <w:p w14:paraId="77CEC22D" w14:textId="77777777" w:rsidR="004D4B55" w:rsidRPr="004D4B55" w:rsidRDefault="004D4B55" w:rsidP="004D4B55">
      <w:pPr>
        <w:pStyle w:val="NormalWeb"/>
        <w:spacing w:before="0" w:beforeAutospacing="0" w:after="0" w:afterAutospacing="0"/>
        <w:ind w:firstLine="720"/>
      </w:pPr>
      <w:r w:rsidRPr="004D4B55">
        <w:rPr>
          <w:i/>
          <w:iCs/>
        </w:rPr>
        <w:t>Freshwater Research</w:t>
      </w:r>
      <w:r w:rsidRPr="004D4B55">
        <w:t>, vol. 38, 30 Mar. 2010, pp. 347–366.</w:t>
      </w:r>
    </w:p>
    <w:p w14:paraId="51FC2691" w14:textId="77777777" w:rsidR="00C27A5A" w:rsidRPr="00C27A5A" w:rsidRDefault="00C27A5A" w:rsidP="00C27A5A">
      <w:pPr>
        <w:spacing w:line="240" w:lineRule="auto"/>
        <w:rPr>
          <w:rFonts w:eastAsia="Times New Roman" w:cs="Times New Roman"/>
          <w:color w:val="000000"/>
          <w:szCs w:val="24"/>
        </w:rPr>
      </w:pPr>
      <w:r w:rsidRPr="00C27A5A">
        <w:rPr>
          <w:rFonts w:eastAsia="Times New Roman" w:cs="Times New Roman"/>
          <w:i/>
          <w:color w:val="000000"/>
          <w:szCs w:val="24"/>
        </w:rPr>
        <w:t>Nelson Lakes National Park Visitor Information</w:t>
      </w:r>
      <w:r w:rsidRPr="00C27A5A">
        <w:rPr>
          <w:rFonts w:eastAsia="Times New Roman" w:cs="Times New Roman"/>
          <w:color w:val="000000"/>
          <w:szCs w:val="24"/>
        </w:rPr>
        <w:t xml:space="preserve">. Department of Conservation, Rotoiti/Nelson </w:t>
      </w:r>
    </w:p>
    <w:p w14:paraId="51606A02" w14:textId="77777777" w:rsidR="00C27A5A" w:rsidRDefault="00C27A5A" w:rsidP="00C27A5A">
      <w:pPr>
        <w:spacing w:line="240" w:lineRule="auto"/>
        <w:ind w:firstLine="720"/>
        <w:rPr>
          <w:rFonts w:eastAsia="Times New Roman" w:cs="Times New Roman"/>
          <w:color w:val="000000"/>
          <w:szCs w:val="24"/>
        </w:rPr>
      </w:pPr>
      <w:r w:rsidRPr="00C27A5A">
        <w:rPr>
          <w:rFonts w:eastAsia="Times New Roman" w:cs="Times New Roman"/>
          <w:color w:val="000000"/>
          <w:szCs w:val="24"/>
        </w:rPr>
        <w:t>Lakes Visitor Centre, Mar. 2014.</w:t>
      </w:r>
    </w:p>
    <w:p w14:paraId="7ACFA6B0" w14:textId="77777777" w:rsidR="001C76DA" w:rsidRDefault="001C76DA" w:rsidP="001C76DA">
      <w:pPr>
        <w:spacing w:line="240" w:lineRule="auto"/>
        <w:rPr>
          <w:color w:val="000000"/>
          <w:shd w:val="clear" w:color="auto" w:fill="FFFFFF"/>
        </w:rPr>
      </w:pPr>
      <w:r>
        <w:rPr>
          <w:color w:val="000000"/>
          <w:shd w:val="clear" w:color="auto" w:fill="FFFFFF"/>
        </w:rPr>
        <w:t xml:space="preserve">Parris, Kevin. “Impact of Agriculture on Water Pollution in OECD Countries: Recent Trends and </w:t>
      </w:r>
    </w:p>
    <w:p w14:paraId="0B3AB796" w14:textId="77777777" w:rsidR="001C76DA" w:rsidRDefault="001C76DA" w:rsidP="001C76DA">
      <w:pPr>
        <w:spacing w:line="240" w:lineRule="auto"/>
        <w:ind w:firstLine="720"/>
        <w:rPr>
          <w:color w:val="000000"/>
          <w:shd w:val="clear" w:color="auto" w:fill="FFFFFF"/>
        </w:rPr>
      </w:pPr>
      <w:r>
        <w:rPr>
          <w:color w:val="000000"/>
          <w:shd w:val="clear" w:color="auto" w:fill="FFFFFF"/>
        </w:rPr>
        <w:t xml:space="preserve">Future Prospects.” </w:t>
      </w:r>
      <w:r>
        <w:rPr>
          <w:i/>
          <w:iCs/>
          <w:color w:val="000000"/>
          <w:shd w:val="clear" w:color="auto" w:fill="FFFFFF"/>
        </w:rPr>
        <w:t>International Journal of Water Resources Development</w:t>
      </w:r>
      <w:r>
        <w:rPr>
          <w:color w:val="000000"/>
          <w:shd w:val="clear" w:color="auto" w:fill="FFFFFF"/>
        </w:rPr>
        <w:t xml:space="preserve">, vol. 27, no. 1, </w:t>
      </w:r>
    </w:p>
    <w:p w14:paraId="66A19C87" w14:textId="77777777" w:rsidR="001C76DA" w:rsidRPr="001C76DA" w:rsidRDefault="001C76DA" w:rsidP="001C76DA">
      <w:pPr>
        <w:spacing w:line="240" w:lineRule="auto"/>
        <w:ind w:firstLine="720"/>
        <w:rPr>
          <w:color w:val="000000"/>
          <w:shd w:val="clear" w:color="auto" w:fill="FFFFFF"/>
        </w:rPr>
      </w:pPr>
      <w:r>
        <w:rPr>
          <w:color w:val="000000"/>
          <w:shd w:val="clear" w:color="auto" w:fill="FFFFFF"/>
        </w:rPr>
        <w:t>6 Feb. 2011, pp. 33–52.</w:t>
      </w:r>
    </w:p>
    <w:p w14:paraId="60FED93B" w14:textId="77777777" w:rsidR="00C27A5A" w:rsidRDefault="00C27A5A" w:rsidP="00C27A5A">
      <w:pPr>
        <w:spacing w:line="240" w:lineRule="auto"/>
        <w:rPr>
          <w:rFonts w:eastAsia="Times New Roman" w:cs="Times New Roman"/>
          <w:color w:val="000000"/>
          <w:szCs w:val="24"/>
        </w:rPr>
      </w:pPr>
      <w:r w:rsidRPr="00C27A5A">
        <w:rPr>
          <w:rFonts w:eastAsia="Times New Roman" w:cs="Times New Roman"/>
          <w:color w:val="000000"/>
          <w:szCs w:val="24"/>
        </w:rPr>
        <w:t xml:space="preserve">Smith, R. A. “Water Quality Survey of Lake Rotoiti (South Island).” </w:t>
      </w:r>
      <w:r w:rsidRPr="00C27A5A">
        <w:rPr>
          <w:rFonts w:eastAsia="Times New Roman" w:cs="Times New Roman"/>
          <w:i/>
          <w:color w:val="000000"/>
          <w:szCs w:val="24"/>
        </w:rPr>
        <w:t>National Institute of Water</w:t>
      </w:r>
      <w:r w:rsidRPr="00C27A5A">
        <w:rPr>
          <w:rFonts w:eastAsia="Times New Roman" w:cs="Times New Roman"/>
          <w:color w:val="000000"/>
          <w:szCs w:val="24"/>
        </w:rPr>
        <w:t xml:space="preserve">, </w:t>
      </w:r>
    </w:p>
    <w:p w14:paraId="2BE0A5BE" w14:textId="77777777" w:rsidR="00C27A5A" w:rsidRPr="00C27A5A" w:rsidRDefault="00C27A5A" w:rsidP="00C27A5A">
      <w:pPr>
        <w:spacing w:line="240" w:lineRule="auto"/>
        <w:ind w:firstLine="720"/>
        <w:rPr>
          <w:rFonts w:eastAsia="Times New Roman" w:cs="Times New Roman"/>
          <w:color w:val="000000"/>
          <w:szCs w:val="24"/>
        </w:rPr>
      </w:pPr>
      <w:r w:rsidRPr="00C27A5A">
        <w:rPr>
          <w:rFonts w:eastAsia="Times New Roman" w:cs="Times New Roman"/>
          <w:color w:val="000000"/>
          <w:szCs w:val="24"/>
        </w:rPr>
        <w:t>Tasman District Council, 6 July 1999.</w:t>
      </w:r>
    </w:p>
    <w:p w14:paraId="644346C8" w14:textId="77777777" w:rsidR="00AD1DC9" w:rsidRDefault="00AD1DC9" w:rsidP="00AD1DC9">
      <w:pPr>
        <w:spacing w:line="240" w:lineRule="auto"/>
        <w:rPr>
          <w:rFonts w:eastAsia="Times New Roman" w:cs="Times New Roman"/>
          <w:color w:val="000000"/>
          <w:szCs w:val="24"/>
        </w:rPr>
      </w:pPr>
      <w:r w:rsidRPr="00AD1DC9">
        <w:rPr>
          <w:rFonts w:eastAsia="Times New Roman" w:cs="Times New Roman"/>
          <w:color w:val="000000"/>
          <w:szCs w:val="24"/>
        </w:rPr>
        <w:t>Wallace, Cath. “The 'Clean Green' Delusion.” </w:t>
      </w:r>
      <w:r w:rsidRPr="00AD1DC9">
        <w:rPr>
          <w:rFonts w:eastAsia="Times New Roman" w:cs="Times New Roman"/>
          <w:i/>
          <w:color w:val="000000"/>
          <w:szCs w:val="24"/>
        </w:rPr>
        <w:t>New Zealand Studies</w:t>
      </w:r>
      <w:r w:rsidRPr="00AD1DC9">
        <w:rPr>
          <w:rFonts w:eastAsia="Times New Roman" w:cs="Times New Roman"/>
          <w:color w:val="000000"/>
          <w:szCs w:val="24"/>
        </w:rPr>
        <w:t>, Mar. 1999, pp. 22–29.</w:t>
      </w:r>
    </w:p>
    <w:p w14:paraId="03FF61EB" w14:textId="77777777" w:rsidR="00AD1DC9" w:rsidRPr="00AD1DC9" w:rsidRDefault="00AD1DC9" w:rsidP="00737334">
      <w:pPr>
        <w:spacing w:line="240" w:lineRule="auto"/>
        <w:rPr>
          <w:rFonts w:eastAsia="Times New Roman" w:cs="Times New Roman"/>
          <w:color w:val="000000"/>
          <w:szCs w:val="24"/>
        </w:rPr>
      </w:pPr>
      <w:r w:rsidRPr="00AD1DC9">
        <w:rPr>
          <w:rFonts w:eastAsia="Times New Roman" w:cs="Times New Roman"/>
          <w:color w:val="000000"/>
          <w:szCs w:val="24"/>
        </w:rPr>
        <w:t xml:space="preserve">“Water Quality Results for the Rotoiti Catchment 1999.” </w:t>
      </w:r>
      <w:r w:rsidRPr="00AD1DC9">
        <w:rPr>
          <w:rFonts w:eastAsia="Times New Roman" w:cs="Times New Roman"/>
          <w:i/>
          <w:color w:val="000000"/>
          <w:szCs w:val="24"/>
        </w:rPr>
        <w:t>Tasman District Council</w:t>
      </w:r>
      <w:r w:rsidRPr="00AD1DC9">
        <w:rPr>
          <w:rFonts w:eastAsia="Times New Roman" w:cs="Times New Roman"/>
          <w:color w:val="000000"/>
          <w:szCs w:val="24"/>
        </w:rPr>
        <w:t>,</w:t>
      </w:r>
      <w:r w:rsidR="00737334">
        <w:rPr>
          <w:rFonts w:eastAsia="Times New Roman" w:cs="Times New Roman"/>
          <w:color w:val="000000"/>
          <w:szCs w:val="24"/>
        </w:rPr>
        <w:t xml:space="preserve"> 1999.</w:t>
      </w:r>
    </w:p>
    <w:p w14:paraId="775C2020" w14:textId="77777777" w:rsidR="00AD1DC9" w:rsidRDefault="00AD1DC9" w:rsidP="00AD1DC9">
      <w:pPr>
        <w:pStyle w:val="NormalWeb"/>
        <w:spacing w:before="0" w:beforeAutospacing="0" w:after="0" w:afterAutospacing="0"/>
      </w:pPr>
      <w:r>
        <w:rPr>
          <w:color w:val="000000"/>
        </w:rPr>
        <w:t xml:space="preserve">“What causes algal blooms?” </w:t>
      </w:r>
      <w:r>
        <w:rPr>
          <w:i/>
          <w:iCs/>
          <w:color w:val="000000"/>
        </w:rPr>
        <w:t>Center for Earth and Environmental Science</w:t>
      </w:r>
      <w:r>
        <w:rPr>
          <w:color w:val="000000"/>
        </w:rPr>
        <w:t>, Indiana University.</w:t>
      </w:r>
    </w:p>
    <w:p w14:paraId="24496ED4" w14:textId="77777777" w:rsidR="00AD1DC9" w:rsidRDefault="00AD1DC9" w:rsidP="00AD1DC9">
      <w:pPr>
        <w:spacing w:line="240" w:lineRule="auto"/>
        <w:rPr>
          <w:rFonts w:eastAsia="Times New Roman" w:cs="Times New Roman"/>
          <w:color w:val="000000"/>
          <w:szCs w:val="24"/>
        </w:rPr>
      </w:pPr>
    </w:p>
    <w:p w14:paraId="302D7097" w14:textId="77777777" w:rsidR="004D4B55" w:rsidRPr="00C27A5A" w:rsidRDefault="004D4B55" w:rsidP="00AD1DC9">
      <w:pPr>
        <w:spacing w:line="240" w:lineRule="auto"/>
        <w:rPr>
          <w:rFonts w:eastAsia="Times New Roman" w:cs="Times New Roman"/>
          <w:color w:val="000000"/>
          <w:szCs w:val="24"/>
        </w:rPr>
      </w:pPr>
    </w:p>
    <w:sectPr w:rsidR="004D4B55" w:rsidRPr="00C27A5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E626" w14:textId="77777777" w:rsidR="00B20853" w:rsidRDefault="00B20853" w:rsidP="008F5F35">
      <w:pPr>
        <w:spacing w:line="240" w:lineRule="auto"/>
      </w:pPr>
      <w:r>
        <w:separator/>
      </w:r>
    </w:p>
  </w:endnote>
  <w:endnote w:type="continuationSeparator" w:id="0">
    <w:p w14:paraId="7EF3AB03" w14:textId="77777777" w:rsidR="00B20853" w:rsidRDefault="00B20853" w:rsidP="008F5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A7D5" w14:textId="77777777" w:rsidR="00B20853" w:rsidRDefault="00B20853" w:rsidP="008F5F35">
      <w:pPr>
        <w:spacing w:line="240" w:lineRule="auto"/>
      </w:pPr>
      <w:r>
        <w:separator/>
      </w:r>
    </w:p>
  </w:footnote>
  <w:footnote w:type="continuationSeparator" w:id="0">
    <w:p w14:paraId="7013A8CD" w14:textId="77777777" w:rsidR="00B20853" w:rsidRDefault="00B20853" w:rsidP="008F5F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EA3A" w14:textId="77777777" w:rsidR="008F5F35" w:rsidRDefault="008F5F35">
    <w:pPr>
      <w:pStyle w:val="Header"/>
      <w:jc w:val="right"/>
    </w:pPr>
    <w:r>
      <w:t xml:space="preserve">McFarlane </w:t>
    </w:r>
    <w:sdt>
      <w:sdtPr>
        <w:id w:val="19041000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E5443">
          <w:rPr>
            <w:noProof/>
          </w:rPr>
          <w:t>8</w:t>
        </w:r>
        <w:r>
          <w:rPr>
            <w:noProof/>
          </w:rPr>
          <w:fldChar w:fldCharType="end"/>
        </w:r>
      </w:sdtContent>
    </w:sdt>
  </w:p>
  <w:p w14:paraId="2EA7705D" w14:textId="77777777" w:rsidR="008F5F35" w:rsidRDefault="008F5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F7F79"/>
    <w:multiLevelType w:val="hybridMultilevel"/>
    <w:tmpl w:val="9E885B7A"/>
    <w:lvl w:ilvl="0" w:tplc="5900AD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A5F36"/>
    <w:multiLevelType w:val="hybridMultilevel"/>
    <w:tmpl w:val="7340E73E"/>
    <w:lvl w:ilvl="0" w:tplc="59E41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81"/>
    <w:rsid w:val="000250B2"/>
    <w:rsid w:val="00055E81"/>
    <w:rsid w:val="000A7F38"/>
    <w:rsid w:val="00101FF8"/>
    <w:rsid w:val="00114AC7"/>
    <w:rsid w:val="00171081"/>
    <w:rsid w:val="001C76DA"/>
    <w:rsid w:val="001D6556"/>
    <w:rsid w:val="001E4075"/>
    <w:rsid w:val="001E5443"/>
    <w:rsid w:val="002273B2"/>
    <w:rsid w:val="00230194"/>
    <w:rsid w:val="00236E2D"/>
    <w:rsid w:val="002B643D"/>
    <w:rsid w:val="00377A91"/>
    <w:rsid w:val="003E122C"/>
    <w:rsid w:val="003E59B1"/>
    <w:rsid w:val="00425B1C"/>
    <w:rsid w:val="0047307C"/>
    <w:rsid w:val="004945EC"/>
    <w:rsid w:val="00495CB2"/>
    <w:rsid w:val="004D4B55"/>
    <w:rsid w:val="004D557D"/>
    <w:rsid w:val="004F4AAA"/>
    <w:rsid w:val="0050721D"/>
    <w:rsid w:val="00507414"/>
    <w:rsid w:val="005B6B70"/>
    <w:rsid w:val="005E2F3B"/>
    <w:rsid w:val="006019AD"/>
    <w:rsid w:val="006A2159"/>
    <w:rsid w:val="006A5837"/>
    <w:rsid w:val="00737334"/>
    <w:rsid w:val="0075718E"/>
    <w:rsid w:val="00787DA9"/>
    <w:rsid w:val="007C6FF6"/>
    <w:rsid w:val="007D62CC"/>
    <w:rsid w:val="00801A4C"/>
    <w:rsid w:val="0081016D"/>
    <w:rsid w:val="008561D2"/>
    <w:rsid w:val="008B0FE7"/>
    <w:rsid w:val="008F5F35"/>
    <w:rsid w:val="00900216"/>
    <w:rsid w:val="00937629"/>
    <w:rsid w:val="0099317F"/>
    <w:rsid w:val="009C0736"/>
    <w:rsid w:val="00A32F6B"/>
    <w:rsid w:val="00A333A7"/>
    <w:rsid w:val="00AD1D17"/>
    <w:rsid w:val="00AD1DC9"/>
    <w:rsid w:val="00B1475D"/>
    <w:rsid w:val="00B20853"/>
    <w:rsid w:val="00BF6C76"/>
    <w:rsid w:val="00C27A5A"/>
    <w:rsid w:val="00CE1F03"/>
    <w:rsid w:val="00D550D8"/>
    <w:rsid w:val="00D67EFD"/>
    <w:rsid w:val="00D95D4A"/>
    <w:rsid w:val="00DA251C"/>
    <w:rsid w:val="00E53AF3"/>
    <w:rsid w:val="00ED7F62"/>
    <w:rsid w:val="00F10061"/>
    <w:rsid w:val="00F6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6E0F"/>
  <w15:chartTrackingRefBased/>
  <w15:docId w15:val="{6B5E61F0-2C42-4775-8D01-CEA61238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E8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2B643D"/>
    <w:rPr>
      <w:color w:val="0000FF"/>
      <w:u w:val="single"/>
    </w:rPr>
  </w:style>
  <w:style w:type="paragraph" w:styleId="ListParagraph">
    <w:name w:val="List Paragraph"/>
    <w:basedOn w:val="Normal"/>
    <w:uiPriority w:val="34"/>
    <w:qFormat/>
    <w:rsid w:val="00AD1D17"/>
    <w:pPr>
      <w:ind w:left="720"/>
      <w:contextualSpacing/>
    </w:pPr>
  </w:style>
  <w:style w:type="paragraph" w:styleId="Header">
    <w:name w:val="header"/>
    <w:basedOn w:val="Normal"/>
    <w:link w:val="HeaderChar"/>
    <w:uiPriority w:val="99"/>
    <w:unhideWhenUsed/>
    <w:rsid w:val="008F5F35"/>
    <w:pPr>
      <w:tabs>
        <w:tab w:val="center" w:pos="4680"/>
        <w:tab w:val="right" w:pos="9360"/>
      </w:tabs>
      <w:spacing w:line="240" w:lineRule="auto"/>
    </w:pPr>
  </w:style>
  <w:style w:type="character" w:customStyle="1" w:styleId="HeaderChar">
    <w:name w:val="Header Char"/>
    <w:basedOn w:val="DefaultParagraphFont"/>
    <w:link w:val="Header"/>
    <w:uiPriority w:val="99"/>
    <w:rsid w:val="008F5F35"/>
  </w:style>
  <w:style w:type="paragraph" w:styleId="Footer">
    <w:name w:val="footer"/>
    <w:basedOn w:val="Normal"/>
    <w:link w:val="FooterChar"/>
    <w:uiPriority w:val="99"/>
    <w:unhideWhenUsed/>
    <w:rsid w:val="008F5F35"/>
    <w:pPr>
      <w:tabs>
        <w:tab w:val="center" w:pos="4680"/>
        <w:tab w:val="right" w:pos="9360"/>
      </w:tabs>
      <w:spacing w:line="240" w:lineRule="auto"/>
    </w:pPr>
  </w:style>
  <w:style w:type="character" w:customStyle="1" w:styleId="FooterChar">
    <w:name w:val="Footer Char"/>
    <w:basedOn w:val="DefaultParagraphFont"/>
    <w:link w:val="Footer"/>
    <w:uiPriority w:val="99"/>
    <w:rsid w:val="008F5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7506">
      <w:bodyDiv w:val="1"/>
      <w:marLeft w:val="0"/>
      <w:marRight w:val="0"/>
      <w:marTop w:val="0"/>
      <w:marBottom w:val="0"/>
      <w:divBdr>
        <w:top w:val="none" w:sz="0" w:space="0" w:color="auto"/>
        <w:left w:val="none" w:sz="0" w:space="0" w:color="auto"/>
        <w:bottom w:val="none" w:sz="0" w:space="0" w:color="auto"/>
        <w:right w:val="none" w:sz="0" w:space="0" w:color="auto"/>
      </w:divBdr>
    </w:div>
    <w:div w:id="423765416">
      <w:bodyDiv w:val="1"/>
      <w:marLeft w:val="0"/>
      <w:marRight w:val="0"/>
      <w:marTop w:val="0"/>
      <w:marBottom w:val="0"/>
      <w:divBdr>
        <w:top w:val="none" w:sz="0" w:space="0" w:color="auto"/>
        <w:left w:val="none" w:sz="0" w:space="0" w:color="auto"/>
        <w:bottom w:val="none" w:sz="0" w:space="0" w:color="auto"/>
        <w:right w:val="none" w:sz="0" w:space="0" w:color="auto"/>
      </w:divBdr>
    </w:div>
    <w:div w:id="459374497">
      <w:bodyDiv w:val="1"/>
      <w:marLeft w:val="0"/>
      <w:marRight w:val="0"/>
      <w:marTop w:val="0"/>
      <w:marBottom w:val="0"/>
      <w:divBdr>
        <w:top w:val="none" w:sz="0" w:space="0" w:color="auto"/>
        <w:left w:val="none" w:sz="0" w:space="0" w:color="auto"/>
        <w:bottom w:val="none" w:sz="0" w:space="0" w:color="auto"/>
        <w:right w:val="none" w:sz="0" w:space="0" w:color="auto"/>
      </w:divBdr>
    </w:div>
    <w:div w:id="623855339">
      <w:bodyDiv w:val="1"/>
      <w:marLeft w:val="0"/>
      <w:marRight w:val="0"/>
      <w:marTop w:val="0"/>
      <w:marBottom w:val="0"/>
      <w:divBdr>
        <w:top w:val="none" w:sz="0" w:space="0" w:color="auto"/>
        <w:left w:val="none" w:sz="0" w:space="0" w:color="auto"/>
        <w:bottom w:val="none" w:sz="0" w:space="0" w:color="auto"/>
        <w:right w:val="none" w:sz="0" w:space="0" w:color="auto"/>
      </w:divBdr>
    </w:div>
    <w:div w:id="626274639">
      <w:bodyDiv w:val="1"/>
      <w:marLeft w:val="0"/>
      <w:marRight w:val="0"/>
      <w:marTop w:val="0"/>
      <w:marBottom w:val="0"/>
      <w:divBdr>
        <w:top w:val="none" w:sz="0" w:space="0" w:color="auto"/>
        <w:left w:val="none" w:sz="0" w:space="0" w:color="auto"/>
        <w:bottom w:val="none" w:sz="0" w:space="0" w:color="auto"/>
        <w:right w:val="none" w:sz="0" w:space="0" w:color="auto"/>
      </w:divBdr>
    </w:div>
    <w:div w:id="661203503">
      <w:bodyDiv w:val="1"/>
      <w:marLeft w:val="0"/>
      <w:marRight w:val="0"/>
      <w:marTop w:val="0"/>
      <w:marBottom w:val="0"/>
      <w:divBdr>
        <w:top w:val="none" w:sz="0" w:space="0" w:color="auto"/>
        <w:left w:val="none" w:sz="0" w:space="0" w:color="auto"/>
        <w:bottom w:val="none" w:sz="0" w:space="0" w:color="auto"/>
        <w:right w:val="none" w:sz="0" w:space="0" w:color="auto"/>
      </w:divBdr>
    </w:div>
    <w:div w:id="793641350">
      <w:bodyDiv w:val="1"/>
      <w:marLeft w:val="0"/>
      <w:marRight w:val="0"/>
      <w:marTop w:val="0"/>
      <w:marBottom w:val="0"/>
      <w:divBdr>
        <w:top w:val="none" w:sz="0" w:space="0" w:color="auto"/>
        <w:left w:val="none" w:sz="0" w:space="0" w:color="auto"/>
        <w:bottom w:val="none" w:sz="0" w:space="0" w:color="auto"/>
        <w:right w:val="none" w:sz="0" w:space="0" w:color="auto"/>
      </w:divBdr>
    </w:div>
    <w:div w:id="902643868">
      <w:bodyDiv w:val="1"/>
      <w:marLeft w:val="0"/>
      <w:marRight w:val="0"/>
      <w:marTop w:val="0"/>
      <w:marBottom w:val="0"/>
      <w:divBdr>
        <w:top w:val="none" w:sz="0" w:space="0" w:color="auto"/>
        <w:left w:val="none" w:sz="0" w:space="0" w:color="auto"/>
        <w:bottom w:val="none" w:sz="0" w:space="0" w:color="auto"/>
        <w:right w:val="none" w:sz="0" w:space="0" w:color="auto"/>
      </w:divBdr>
    </w:div>
    <w:div w:id="910888341">
      <w:bodyDiv w:val="1"/>
      <w:marLeft w:val="0"/>
      <w:marRight w:val="0"/>
      <w:marTop w:val="0"/>
      <w:marBottom w:val="0"/>
      <w:divBdr>
        <w:top w:val="none" w:sz="0" w:space="0" w:color="auto"/>
        <w:left w:val="none" w:sz="0" w:space="0" w:color="auto"/>
        <w:bottom w:val="none" w:sz="0" w:space="0" w:color="auto"/>
        <w:right w:val="none" w:sz="0" w:space="0" w:color="auto"/>
      </w:divBdr>
    </w:div>
    <w:div w:id="1089084493">
      <w:bodyDiv w:val="1"/>
      <w:marLeft w:val="0"/>
      <w:marRight w:val="0"/>
      <w:marTop w:val="0"/>
      <w:marBottom w:val="0"/>
      <w:divBdr>
        <w:top w:val="none" w:sz="0" w:space="0" w:color="auto"/>
        <w:left w:val="none" w:sz="0" w:space="0" w:color="auto"/>
        <w:bottom w:val="none" w:sz="0" w:space="0" w:color="auto"/>
        <w:right w:val="none" w:sz="0" w:space="0" w:color="auto"/>
      </w:divBdr>
    </w:div>
    <w:div w:id="1302887754">
      <w:bodyDiv w:val="1"/>
      <w:marLeft w:val="0"/>
      <w:marRight w:val="0"/>
      <w:marTop w:val="0"/>
      <w:marBottom w:val="0"/>
      <w:divBdr>
        <w:top w:val="none" w:sz="0" w:space="0" w:color="auto"/>
        <w:left w:val="none" w:sz="0" w:space="0" w:color="auto"/>
        <w:bottom w:val="none" w:sz="0" w:space="0" w:color="auto"/>
        <w:right w:val="none" w:sz="0" w:space="0" w:color="auto"/>
      </w:divBdr>
    </w:div>
    <w:div w:id="1686905870">
      <w:bodyDiv w:val="1"/>
      <w:marLeft w:val="0"/>
      <w:marRight w:val="0"/>
      <w:marTop w:val="0"/>
      <w:marBottom w:val="0"/>
      <w:divBdr>
        <w:top w:val="none" w:sz="0" w:space="0" w:color="auto"/>
        <w:left w:val="none" w:sz="0" w:space="0" w:color="auto"/>
        <w:bottom w:val="none" w:sz="0" w:space="0" w:color="auto"/>
        <w:right w:val="none" w:sz="0" w:space="0" w:color="auto"/>
      </w:divBdr>
    </w:div>
    <w:div w:id="1866559117">
      <w:bodyDiv w:val="1"/>
      <w:marLeft w:val="0"/>
      <w:marRight w:val="0"/>
      <w:marTop w:val="0"/>
      <w:marBottom w:val="0"/>
      <w:divBdr>
        <w:top w:val="none" w:sz="0" w:space="0" w:color="auto"/>
        <w:left w:val="none" w:sz="0" w:space="0" w:color="auto"/>
        <w:bottom w:val="none" w:sz="0" w:space="0" w:color="auto"/>
        <w:right w:val="none" w:sz="0" w:space="0" w:color="auto"/>
      </w:divBdr>
    </w:div>
    <w:div w:id="2036077745">
      <w:bodyDiv w:val="1"/>
      <w:marLeft w:val="0"/>
      <w:marRight w:val="0"/>
      <w:marTop w:val="0"/>
      <w:marBottom w:val="0"/>
      <w:divBdr>
        <w:top w:val="none" w:sz="0" w:space="0" w:color="auto"/>
        <w:left w:val="none" w:sz="0" w:space="0" w:color="auto"/>
        <w:bottom w:val="none" w:sz="0" w:space="0" w:color="auto"/>
        <w:right w:val="none" w:sz="0" w:space="0" w:color="auto"/>
      </w:divBdr>
    </w:div>
    <w:div w:id="2040816028">
      <w:bodyDiv w:val="1"/>
      <w:marLeft w:val="0"/>
      <w:marRight w:val="0"/>
      <w:marTop w:val="0"/>
      <w:marBottom w:val="0"/>
      <w:divBdr>
        <w:top w:val="none" w:sz="0" w:space="0" w:color="auto"/>
        <w:left w:val="none" w:sz="0" w:space="0" w:color="auto"/>
        <w:bottom w:val="none" w:sz="0" w:space="0" w:color="auto"/>
        <w:right w:val="none" w:sz="0" w:space="0" w:color="auto"/>
      </w:divBdr>
    </w:div>
    <w:div w:id="20567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ie\Downloads\MKM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ie\Downloads\MKM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rgbClr val="414A30"/>
            </a:solidFill>
          </c:spPr>
          <c:invertIfNegative val="0"/>
          <c:errBars>
            <c:errBarType val="both"/>
            <c:errValType val="cust"/>
            <c:noEndCap val="0"/>
            <c:plus>
              <c:numRef>
                <c:f>[MKMDATA.xlsx]MKMDATA.CSV!$AM$43:$AQ$43</c:f>
                <c:numCache>
                  <c:formatCode>General</c:formatCode>
                  <c:ptCount val="5"/>
                  <c:pt idx="0">
                    <c:v>1.9655363983740758E-2</c:v>
                  </c:pt>
                  <c:pt idx="1">
                    <c:v>1.2279303726189035</c:v>
                  </c:pt>
                  <c:pt idx="2">
                    <c:v>8.7762938267433629E-2</c:v>
                  </c:pt>
                  <c:pt idx="3">
                    <c:v>0.49793707768485507</c:v>
                  </c:pt>
                  <c:pt idx="4">
                    <c:v>6.0917419785586233</c:v>
                  </c:pt>
                </c:numCache>
              </c:numRef>
            </c:plus>
            <c:minus>
              <c:numRef>
                <c:f>[MKMDATA.xlsx]MKMDATA.CSV!$AM$43:$AQ$43</c:f>
                <c:numCache>
                  <c:formatCode>General</c:formatCode>
                  <c:ptCount val="5"/>
                  <c:pt idx="0">
                    <c:v>1.9655363983740758E-2</c:v>
                  </c:pt>
                  <c:pt idx="1">
                    <c:v>1.2279303726189035</c:v>
                  </c:pt>
                  <c:pt idx="2">
                    <c:v>8.7762938267433629E-2</c:v>
                  </c:pt>
                  <c:pt idx="3">
                    <c:v>0.49793707768485507</c:v>
                  </c:pt>
                  <c:pt idx="4">
                    <c:v>6.0917419785586233</c:v>
                  </c:pt>
                </c:numCache>
              </c:numRef>
            </c:minus>
          </c:errBars>
          <c:cat>
            <c:strRef>
              <c:f>[MKMDATA.xlsx]MKMDATA.CSV!$AE$49:$AE$53</c:f>
              <c:strCache>
                <c:ptCount val="5"/>
                <c:pt idx="0">
                  <c:v>Site 1</c:v>
                </c:pt>
                <c:pt idx="1">
                  <c:v>Site 2</c:v>
                </c:pt>
                <c:pt idx="2">
                  <c:v>Site 3</c:v>
                </c:pt>
                <c:pt idx="3">
                  <c:v>Site 4</c:v>
                </c:pt>
                <c:pt idx="4">
                  <c:v>Site 5</c:v>
                </c:pt>
              </c:strCache>
            </c:strRef>
          </c:cat>
          <c:val>
            <c:numRef>
              <c:f>[MKMDATA.xlsx]MKMDATA.CSV!$AF$43:$AJ$43</c:f>
              <c:numCache>
                <c:formatCode>General</c:formatCode>
                <c:ptCount val="5"/>
                <c:pt idx="0">
                  <c:v>0.23166666666666666</c:v>
                </c:pt>
                <c:pt idx="1">
                  <c:v>0.9820000000000001</c:v>
                </c:pt>
                <c:pt idx="2">
                  <c:v>0.52833333333333332</c:v>
                </c:pt>
                <c:pt idx="3">
                  <c:v>0.54233333333333322</c:v>
                </c:pt>
                <c:pt idx="4">
                  <c:v>3.6493333333333329</c:v>
                </c:pt>
              </c:numCache>
            </c:numRef>
          </c:val>
          <c:extLst>
            <c:ext xmlns:c16="http://schemas.microsoft.com/office/drawing/2014/chart" uri="{C3380CC4-5D6E-409C-BE32-E72D297353CC}">
              <c16:uniqueId val="{00000000-8517-49EB-BBAF-2CA1999A1E7D}"/>
            </c:ext>
          </c:extLst>
        </c:ser>
        <c:dLbls>
          <c:showLegendKey val="0"/>
          <c:showVal val="0"/>
          <c:showCatName val="0"/>
          <c:showSerName val="0"/>
          <c:showPercent val="0"/>
          <c:showBubbleSize val="0"/>
        </c:dLbls>
        <c:gapWidth val="150"/>
        <c:axId val="497243440"/>
        <c:axId val="497244224"/>
      </c:barChart>
      <c:catAx>
        <c:axId val="497243440"/>
        <c:scaling>
          <c:orientation val="minMax"/>
        </c:scaling>
        <c:delete val="0"/>
        <c:axPos val="b"/>
        <c:title>
          <c:tx>
            <c:rich>
              <a:bodyPr/>
              <a:lstStyle/>
              <a:p>
                <a:pPr>
                  <a:defRPr sz="1300"/>
                </a:pPr>
                <a:r>
                  <a:rPr lang="en-US" sz="1300"/>
                  <a:t>Site</a:t>
                </a:r>
                <a:r>
                  <a:rPr lang="en-US" sz="1300" baseline="0"/>
                  <a:t> Number</a:t>
                </a:r>
                <a:endParaRPr lang="en-US" sz="1300"/>
              </a:p>
            </c:rich>
          </c:tx>
          <c:overlay val="0"/>
        </c:title>
        <c:numFmt formatCode="General" sourceLinked="0"/>
        <c:majorTickMark val="out"/>
        <c:minorTickMark val="none"/>
        <c:tickLblPos val="nextTo"/>
        <c:txPr>
          <a:bodyPr/>
          <a:lstStyle/>
          <a:p>
            <a:pPr>
              <a:defRPr sz="1200"/>
            </a:pPr>
            <a:endParaRPr lang="en-US"/>
          </a:p>
        </c:txPr>
        <c:crossAx val="497244224"/>
        <c:crosses val="autoZero"/>
        <c:auto val="1"/>
        <c:lblAlgn val="ctr"/>
        <c:lblOffset val="100"/>
        <c:noMultiLvlLbl val="0"/>
      </c:catAx>
      <c:valAx>
        <c:axId val="497244224"/>
        <c:scaling>
          <c:orientation val="minMax"/>
          <c:min val="0"/>
        </c:scaling>
        <c:delete val="0"/>
        <c:axPos val="l"/>
        <c:title>
          <c:tx>
            <c:rich>
              <a:bodyPr rot="-5400000" vert="horz"/>
              <a:lstStyle/>
              <a:p>
                <a:pPr>
                  <a:defRPr sz="1300"/>
                </a:pPr>
                <a:r>
                  <a:rPr lang="en-US" sz="1300"/>
                  <a:t>Averaged</a:t>
                </a:r>
                <a:r>
                  <a:rPr lang="en-US" sz="1300" baseline="0"/>
                  <a:t> Alpha Value</a:t>
                </a:r>
                <a:endParaRPr lang="en-US" sz="1300"/>
              </a:p>
            </c:rich>
          </c:tx>
          <c:layout>
            <c:manualLayout>
              <c:xMode val="edge"/>
              <c:yMode val="edge"/>
              <c:x val="2.8446389496717701E-2"/>
              <c:y val="0.251929673174415"/>
            </c:manualLayout>
          </c:layout>
          <c:overlay val="0"/>
        </c:title>
        <c:numFmt formatCode="General" sourceLinked="1"/>
        <c:majorTickMark val="out"/>
        <c:minorTickMark val="none"/>
        <c:tickLblPos val="nextTo"/>
        <c:txPr>
          <a:bodyPr/>
          <a:lstStyle/>
          <a:p>
            <a:pPr>
              <a:defRPr sz="1200"/>
            </a:pPr>
            <a:endParaRPr lang="en-US"/>
          </a:p>
        </c:txPr>
        <c:crossAx val="4972434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rgbClr val="B9709A"/>
            </a:solidFill>
          </c:spPr>
          <c:invertIfNegative val="0"/>
          <c:errBars>
            <c:errBarType val="both"/>
            <c:errValType val="cust"/>
            <c:noEndCap val="0"/>
            <c:plus>
              <c:numRef>
                <c:f>[MKMDATA.xlsx]MKMDATA.CSV!$AM$44:$AQ$44</c:f>
                <c:numCache>
                  <c:formatCode>General</c:formatCode>
                  <c:ptCount val="5"/>
                  <c:pt idx="0">
                    <c:v>9.2554259941578838</c:v>
                  </c:pt>
                  <c:pt idx="1">
                    <c:v>52.973565945667644</c:v>
                  </c:pt>
                  <c:pt idx="2">
                    <c:v>20.242075297096676</c:v>
                  </c:pt>
                  <c:pt idx="3">
                    <c:v>1.5556838796276491</c:v>
                  </c:pt>
                  <c:pt idx="4">
                    <c:v>2.8720370819333128</c:v>
                  </c:pt>
                </c:numCache>
              </c:numRef>
            </c:plus>
            <c:minus>
              <c:numRef>
                <c:f>[MKMDATA.xlsx]MKMDATA.CSV!$AM$44:$AQ$44</c:f>
                <c:numCache>
                  <c:formatCode>General</c:formatCode>
                  <c:ptCount val="5"/>
                  <c:pt idx="0">
                    <c:v>9.2554259941578838</c:v>
                  </c:pt>
                  <c:pt idx="1">
                    <c:v>52.973565945667644</c:v>
                  </c:pt>
                  <c:pt idx="2">
                    <c:v>20.242075297096676</c:v>
                  </c:pt>
                  <c:pt idx="3">
                    <c:v>1.5556838796276491</c:v>
                  </c:pt>
                  <c:pt idx="4">
                    <c:v>2.8720370819333128</c:v>
                  </c:pt>
                </c:numCache>
              </c:numRef>
            </c:minus>
          </c:errBars>
          <c:cat>
            <c:strRef>
              <c:f>[MKMDATA.xlsx]MKMDATA.CSV!$AE$49:$AE$53</c:f>
              <c:strCache>
                <c:ptCount val="5"/>
                <c:pt idx="0">
                  <c:v>Site 1</c:v>
                </c:pt>
                <c:pt idx="1">
                  <c:v>Site 2</c:v>
                </c:pt>
                <c:pt idx="2">
                  <c:v>Site 3</c:v>
                </c:pt>
                <c:pt idx="3">
                  <c:v>Site 4</c:v>
                </c:pt>
                <c:pt idx="4">
                  <c:v>Site 5</c:v>
                </c:pt>
              </c:strCache>
            </c:strRef>
          </c:cat>
          <c:val>
            <c:numRef>
              <c:f>[MKMDATA.xlsx]MKMDATA.CSV!$AF$44:$AJ$44</c:f>
              <c:numCache>
                <c:formatCode>General</c:formatCode>
                <c:ptCount val="5"/>
                <c:pt idx="0">
                  <c:v>58.142333333333333</c:v>
                </c:pt>
                <c:pt idx="1">
                  <c:v>52.439</c:v>
                </c:pt>
                <c:pt idx="2">
                  <c:v>90.695333333333338</c:v>
                </c:pt>
                <c:pt idx="3">
                  <c:v>2.9176666666666669</c:v>
                </c:pt>
                <c:pt idx="4">
                  <c:v>11.790999999999999</c:v>
                </c:pt>
              </c:numCache>
            </c:numRef>
          </c:val>
          <c:extLst>
            <c:ext xmlns:c16="http://schemas.microsoft.com/office/drawing/2014/chart" uri="{C3380CC4-5D6E-409C-BE32-E72D297353CC}">
              <c16:uniqueId val="{00000000-5565-4D5E-9CDB-6EB77D535DA3}"/>
            </c:ext>
          </c:extLst>
        </c:ser>
        <c:dLbls>
          <c:showLegendKey val="0"/>
          <c:showVal val="0"/>
          <c:showCatName val="0"/>
          <c:showSerName val="0"/>
          <c:showPercent val="0"/>
          <c:showBubbleSize val="0"/>
        </c:dLbls>
        <c:gapWidth val="150"/>
        <c:axId val="497245400"/>
        <c:axId val="494830472"/>
      </c:barChart>
      <c:catAx>
        <c:axId val="497245400"/>
        <c:scaling>
          <c:orientation val="minMax"/>
        </c:scaling>
        <c:delete val="0"/>
        <c:axPos val="b"/>
        <c:title>
          <c:tx>
            <c:rich>
              <a:bodyPr/>
              <a:lstStyle/>
              <a:p>
                <a:pPr>
                  <a:defRPr sz="1300"/>
                </a:pPr>
                <a:r>
                  <a:rPr lang="en-US" sz="1300"/>
                  <a:t>Site Number</a:t>
                </a:r>
              </a:p>
            </c:rich>
          </c:tx>
          <c:overlay val="0"/>
        </c:title>
        <c:numFmt formatCode="General" sourceLinked="0"/>
        <c:majorTickMark val="out"/>
        <c:minorTickMark val="none"/>
        <c:tickLblPos val="nextTo"/>
        <c:txPr>
          <a:bodyPr/>
          <a:lstStyle/>
          <a:p>
            <a:pPr>
              <a:defRPr sz="1200"/>
            </a:pPr>
            <a:endParaRPr lang="en-US"/>
          </a:p>
        </c:txPr>
        <c:crossAx val="494830472"/>
        <c:crosses val="autoZero"/>
        <c:auto val="1"/>
        <c:lblAlgn val="ctr"/>
        <c:lblOffset val="100"/>
        <c:noMultiLvlLbl val="0"/>
      </c:catAx>
      <c:valAx>
        <c:axId val="494830472"/>
        <c:scaling>
          <c:orientation val="minMax"/>
          <c:min val="0"/>
        </c:scaling>
        <c:delete val="0"/>
        <c:axPos val="l"/>
        <c:title>
          <c:tx>
            <c:rich>
              <a:bodyPr rot="-5400000" vert="horz"/>
              <a:lstStyle/>
              <a:p>
                <a:pPr>
                  <a:defRPr sz="1300"/>
                </a:pPr>
                <a:r>
                  <a:rPr lang="en-US" sz="1300"/>
                  <a:t>Averaged Pmax Value</a:t>
                </a:r>
              </a:p>
            </c:rich>
          </c:tx>
          <c:layout>
            <c:manualLayout>
              <c:xMode val="edge"/>
              <c:yMode val="edge"/>
              <c:x val="2.4904214559386999E-2"/>
              <c:y val="0.25282584317082901"/>
            </c:manualLayout>
          </c:layout>
          <c:overlay val="0"/>
        </c:title>
        <c:numFmt formatCode="General" sourceLinked="1"/>
        <c:majorTickMark val="out"/>
        <c:minorTickMark val="none"/>
        <c:tickLblPos val="nextTo"/>
        <c:txPr>
          <a:bodyPr/>
          <a:lstStyle/>
          <a:p>
            <a:pPr>
              <a:defRPr sz="1200"/>
            </a:pPr>
            <a:endParaRPr lang="en-US"/>
          </a:p>
        </c:txPr>
        <c:crossAx val="4972454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2162</TotalTime>
  <Pages>8</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McFarlane</dc:creator>
  <cp:keywords/>
  <dc:description/>
  <cp:lastModifiedBy>Katie McFarlane</cp:lastModifiedBy>
  <cp:revision>32</cp:revision>
  <dcterms:created xsi:type="dcterms:W3CDTF">2018-03-13T06:53:00Z</dcterms:created>
  <dcterms:modified xsi:type="dcterms:W3CDTF">2022-02-02T04:06:00Z</dcterms:modified>
</cp:coreProperties>
</file>